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VO-SW_HIMMELPFORTER_HEIDE (Brandenburg) — Ausnahmen, Befreiungen</w:t>
      </w:r>
    </w:p>
    <w:p>
      <w:r>
        <w:rPr>
          <w:color w:val="555555"/>
          <w:sz w:val="18"/>
        </w:rPr>
        <w:t xml:space="preserve">Verordnung über den Schutzwald „Himmelpforter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 Gründen des Waldschutzes und zur Nutzung nach Naturereignissen kann die untere Forstbehörde außerhalb des Naturwaldes Ausnahmen von den Verboten dieser Verordnung zulassen, sofern der Schutzzweck nicht beeinträchtigt wird.</w:t>
      </w:r>
    </w:p>
    <w:p>
      <w:r>
        <w:t xml:space="preserve">(2) Wenn überwiegende Gründe des Gemeinwohls es erfordern, kann die untere Forstbehörde im Einvernehmen mit der unteren Naturschutzbehörde auf Antrag Befreiungen von den Verboten dieser Verordnung gewähren.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VO-SW_HIMMELPFORTER_HEIDE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https://recht.nulegal.eu/gesetze/VO-SW_HIMMELPFORTER_HEIDE/6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