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VO-SWFRIEDREICHEN_2016 (Brandenburg) — Geltendmachung von Rechtsmängeln</w:t>
      </w:r>
    </w:p>
    <w:p>
      <w:r>
        <w:rPr>
          <w:color w:val="555555"/>
          <w:sz w:val="18"/>
        </w:rPr>
        <w:t xml:space="preserve">Verordnung über den Schutzwald „Friedrichsthaler Eichen“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1 der Waldschutzgebietsverfahrensverordnung genannten Verfahrens- und Formvorschriften kann gegen diese Verordnung nur innerhalb eines Jahres nach ihrem Inkrafttreten schriftlich unter Angabe der verletzten Rechtsvorschrift und des Sachverhalts, der die Verletzung begründen soll, gegenüber der obersten Forstbehörde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t xml:space="preserve">Einzelnorm</w:t>
      </w:r>
    </w:p>
    <w:p>
      <w:r>
        <w:rPr>
          <w:color w:val="555555"/>
          <w:sz w:val="17"/>
        </w:rPr>
        <w:t xml:space="preserve">Zitiervorschlag: § 9 VO-SWFRIEDREICHEN_2016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https://recht.nulegal.eu/gesetze/VO-SWFRIEDREICHEN_2016/9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