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VO-OBVANLWU (Brandenburg) — Ordnungswidrigkeiten</w:t>
      </w:r>
    </w:p>
    <w:p>
      <w:r>
        <w:rPr>
          <w:color w:val="555555"/>
          <w:sz w:val="18"/>
        </w:rPr>
        <w:t xml:space="preserve">Ordnungsbehördliche Verordnung über das Anlegen von Wundstreifen auf landwirtschaftlich genutzten Flächen am Waldrand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handelt, wer vorsätzlich oder fahrlässig entgegen § 2 Absatz 1 und 2 das Anlegen eines Wundstreifens unterlässt.</w:t>
      </w:r>
    </w:p>
    <w:p>
      <w:r>
        <w:t xml:space="preserve">(2) Die Ordnungswidrigkeit kann mit einer Geldbuße bis zu 1 000 Euro geahndet werden.</w:t>
      </w:r>
    </w:p>
    <w:p>
      <w:r>
        <w:t xml:space="preserve">(3) Zuständige Verwaltungsbehörde im Sinne des § 36 Absatz 1 Nummer 1 des Gesetzes über Ordnungswidrigkeiten ist die untere Forstbehörde.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VO-OBVANLWU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https://recht.nulegal.eu/gesetze/VO-OBVANLWU/3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VO-OBVANLWU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