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VO-NSG_WEESOWER_LUCH (Brandenburg) — Verhältnis zu anderen naturschutzrechtlichen Bestimmungen</w:t>
      </w:r>
    </w:p>
    <w:p>
      <w:r>
        <w:rPr>
          <w:color w:val="555555"/>
          <w:sz w:val="18"/>
        </w:rPr>
        <w:t xml:space="preserve">Verordnung über das Naturschutzgebiet „Weesower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Schutzzweckes und die Duldung von Maßnahmen des Naturschutzes und der Landschaftspflege richten sich nach den §§ 29 und 68 des Brandenburgischen Naturschutzgesetzes.</w:t>
      </w:r>
    </w:p>
    <w:p>
      <w:r>
        <w:t xml:space="preserve">(2) Soweit nichts anders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(nach den §§ 31 bis 36 des Brandenburgischen Naturschutzgesetzes) und über den Schutz und die Pflege wildlebender Tier- und Pflanzenarten (nach den</w:t>
      </w:r>
    </w:p>
    <w:p>
      <w:r>
        <w:t xml:space="preserve">§§ 20 bis 26 c des Bundesnaturschutzgesetzes und den §§ 37 bis 43 des Brandenburgischen Naturschutzgesetzes) unberührt.</w:t>
      </w:r>
    </w:p>
    <w:p>
      <w:r>
        <w:rPr>
          <w:color w:val="555555"/>
          <w:sz w:val="17"/>
        </w:rPr>
        <w:t xml:space="preserve">Zitiervorschlag: § 9 VO-NSG_WEESOWER_LUCH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https://recht.nulegal.eu/gesetze/VO-NSG_WEESOWER_LUCH/9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