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VO-NSG_WEESOWER_LUCH (Brandenburg) — Ordnungswidrigkeiten</w:t>
      </w:r>
    </w:p>
    <w:p>
      <w:r>
        <w:rPr>
          <w:color w:val="555555"/>
          <w:sz w:val="18"/>
        </w:rPr>
        <w:t xml:space="preserve">Verordnung über das Naturschutzgebiet „Weesower Luch“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eine der nach § 4 oder den Maßgaben des § 5 dieser Verordnung verbotenen Handlungen vornimmt.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8 VO-NSG_WEESOWER_LUCH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https://recht.nulegal.eu/gesetze/VO-NSG_WEESOWER_LUCH/8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VO-NSG_WEESOWER_LUCH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