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VO-NSG_WEESOWER_LUCH (Brandenburg) — Befreiung</w:t>
      </w:r>
    </w:p>
    <w:p>
      <w:r>
        <w:rPr>
          <w:color w:val="555555"/>
          <w:sz w:val="18"/>
        </w:rPr>
        <w:t xml:space="preserve">Verordnung über das Naturschutzgebiet „Weesower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gemäß § 72 des Brandenburgischen Naturschutzgesetzes Befreiung erteilen.</w:t>
      </w:r>
    </w:p>
    <w:p>
      <w:r>
        <w:rPr>
          <w:color w:val="555555"/>
          <w:sz w:val="17"/>
        </w:rPr>
        <w:t xml:space="preserve">Zitiervorschlag: § 7 VO-NSG_WEESOWER_LUCH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https://recht.nulegal.eu/gesetze/VO-NSG_WEESOWER_LUCH/7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