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VO-NSG_WEESOWER_LUCH (Brandenburg) — Schutzzweck</w:t>
      </w:r>
    </w:p>
    <w:p>
      <w:r>
        <w:rPr>
          <w:color w:val="555555"/>
          <w:sz w:val="18"/>
        </w:rPr>
        <w:t xml:space="preserve">Verordnung über das Naturschutzgebiet „Weesower Luch“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Schutzzweck ist die Erhaltung und die Entwicklung des Gebietes</w:t>
      </w:r>
    </w:p>
    <w:p>
      <w:r>
        <w:t xml:space="preserve">als Standort seltener, in ihrem Bestand bedrohter Pflanzengesellschaften, insbesondere der Feuchtwiesen, Seggenriede, Röhrichte und Kleingewässer;</w:t>
      </w:r>
    </w:p>
    <w:p>
      <w:r>
        <w:t xml:space="preserve">als Lebensraum bestandsbedrohter Tier- und Pflanzenarten, insbesondere verschiedener Amphibien-, Vogel- und Libellenarten;</w:t>
      </w:r>
    </w:p>
    <w:p>
      <w:r>
        <w:t xml:space="preserve">aus ökologischen Gründen, insbesondere als Trittsteinbiotop in einer ausgeräumten Agrarlandschaft im überregionalen Schutzgebietssystem des Barnim;</w:t>
      </w:r>
    </w:p>
    <w:p>
      <w:r>
        <w:t xml:space="preserve">wegen der Vielfalt, besonderen Eigenart und landschaftlichen Schönheit des Weesower Luchs und seiner Umgebung;</w:t>
      </w:r>
    </w:p>
    <w:p>
      <w:r>
        <w:t xml:space="preserve">mit seinem natürlichen Wasserhaushalt und der Wasserspeicherfähigkeit des Feuchtgebietes.</w:t>
      </w:r>
    </w:p>
    <w:p>
      <w:r>
        <w:t xml:space="preserve">(2) Die Unterschutzstellung dient der Erhaltung und Entwicklung des Gebietes von gemeinschaftlicher Bedeutung „Weesower Luch“ (§ 7 Absatz 1 Nummer 6 des Bundesnaturschutzgesetzes) mit seinen Vorkommen von</w:t>
      </w:r>
    </w:p>
    <w:p>
      <w:r>
        <w:t xml:space="preserve">Natürlichen eutrophen Seen mit einer Vegetation des Magnopotamions oder Hydrocharitions und Mageren Flachland-Mähwiesen (Alopecurus pratensis, Sanguisorba officinalis) als natürlichen Lebensraumtypen von gemeinschaftlichem Interesse im Sinne von § 7 Absatz 1 Nummer 4 des Bundesnaturschutzgesetzes;</w:t>
      </w:r>
    </w:p>
    <w:p>
      <w:r>
        <w:t xml:space="preserve">Rotbauchunke (Bombina bombina), Kammmolch (Triturus cristatus) und Großem Feuerfalter (Lycaena dispar) als Arten von gemeinschaftlichem Interesse im Sinne von § 7 Absatz 2 Nummer 10 des Bundesnaturschutzgesetzes, einschließlich ihrer für Fortpflanzung, Ernährung, Wanderung und Überwinterung wichtigen Lebensräume.</w:t>
      </w:r>
    </w:p>
    <w:p>
      <w:r>
        <w:rPr>
          <w:color w:val="555555"/>
          <w:sz w:val="17"/>
        </w:rPr>
        <w:t xml:space="preserve">Zitiervorschlag: § 3 VO-NSG_WEESOWER_LUCH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https://recht.nulegal.eu/gesetze/VO-NSG_WEESOWER_LUCH/3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