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VO-NSG_TROCKENRASEN_WRIEZEN (Brandenburg) — Befreiungen</w:t>
      </w:r>
    </w:p>
    <w:p>
      <w:r>
        <w:rPr>
          <w:color w:val="555555"/>
          <w:sz w:val="18"/>
        </w:rPr>
        <w:t xml:space="preserve">Verordnung über das Naturschutzgebiet „Trockenrasen Wriezen und Biesdorfer Kehlen“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67 des Bundesnaturschutzgesetzes Befreiung gewähren.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VO-NSG_TROCKENRASEN_WRIEZEN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https://recht.nulegal.eu/gesetze/VO-NSG_TROCKENRASEN_WRIEZEN/7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VO-NSG_TROCKENRASEN_WRIEZEN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