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VO-NSG_TROCKENHAENGE_LAWITZ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„Trockenhänge Lawitz“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Offenflächen mit wertvollen Pflanzengesellschaften sollen durch geeignete Pflegemaßnahmen erhalten und weiterentwickelt werden, insbesondere durch</w:t>
      </w:r>
    </w:p>
    <w:p>
      <w:r>
        <w:t xml:space="preserve">Mahd mit anschließender Entfernung des Mähgutes im Bereich der mageren Flachland-Mähwiesen,</w:t>
      </w:r>
    </w:p>
    <w:p>
      <w:r>
        <w:t xml:space="preserve">Beweidung oder Hutung vorzugsweise mit Schafen und Ziegen und</w:t>
      </w:r>
    </w:p>
    <w:p>
      <w:r>
        <w:t xml:space="preserve">mechanische Entbuschung, wenn der Gehölzanteil 20 Prozent der Offenfläche übersteigt;</w:t>
      </w:r>
    </w:p>
    <w:p>
      <w:r>
        <w:t xml:space="preserve">naturferne Kiefern- und Robinienforsten sollen mittel- bis langfristig in reich strukturierte Mischbestände mit einem angemessenen Altholzanteil überführt werden;</w:t>
      </w:r>
    </w:p>
    <w:p>
      <w:r>
        <w:t xml:space="preserve">stehendes Totholz mit mehr als 30 Zentimetern Stammdurchmesser in 1,30 Meter Höhe über dem Stammfuß soll nicht gefällt werden und liegendes Totholz an Ort und Stelle verbleiben;</w:t>
      </w:r>
    </w:p>
    <w:p>
      <w:r>
        <w:t xml:space="preserve">Bereiche, die den in § 3 Abs. 2 genannten Waldgesellschaften entsprechen, sollten dauerhaft aus der forstlichen Nutzung entlassen werden;</w:t>
      </w:r>
    </w:p>
    <w:p>
      <w:r>
        <w:t xml:space="preserve">im Bereich der Flurstücke 24, 36, 37, 39 und 40, Flur 1 der Gemarkung Lawitz soll der mosaikartige Charakter lichter Wälder und Trockenfluren durch geeignete Maßnahmen erhalten und weiterentwickelt werden;</w:t>
      </w:r>
    </w:p>
    <w:p>
      <w:r>
        <w:t xml:space="preserve">die zum Teil stark beeinträchtigten Streuobstbestände sind durch eine extensive Pflege zu erhalten, wieder herzustellen und zu entwickeln;</w:t>
      </w:r>
    </w:p>
    <w:p>
      <w:r>
        <w:t xml:space="preserve">brachliegende Ackerflächen sollen wieder in eine extensive Nutzung aufgenommen werden.</w:t>
      </w:r>
    </w:p>
    <w:p>
      <w:r>
        <w:rPr>
          <w:color w:val="555555"/>
          <w:sz w:val="17"/>
        </w:rPr>
        <w:t xml:space="preserve">Zitiervorschlag: § 6 VO-NSG_TROCKENHAENGE_LAWITZ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https://recht.nulegal.eu/gesetze/VO-NSG_TROCKENHAENGE_LAWITZ/6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