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VO-NSG_TROCKENHAENGE_LAWITZ (Brandenburg) — Zulässige Handlungen</w:t>
      </w:r>
    </w:p>
    <w:p>
      <w:r>
        <w:rPr>
          <w:color w:val="555555"/>
          <w:sz w:val="18"/>
        </w:rPr>
        <w:t xml:space="preserve">Verordnung über das Naturschutzgebiet „Trockenhänge Lawitz“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w:t>
      </w:r>
    </w:p>
    <w:p>
      <w:r>
        <w:t xml:space="preserve">auf Grünland § 4 Abs. 2 Nr. 15, 21 und 22 gilt,</w:t>
      </w:r>
    </w:p>
    <w:p>
      <w:r>
        <w:t xml:space="preserve">die Beweidung der Trockenhänge bei Narbenschäden eingestellt wird,</w:t>
      </w:r>
    </w:p>
    <w:p>
      <w:r>
        <w:t xml:space="preserve">auf Ackerflächen der Einsatz von chemisch-synthetischen Düngemitteln sowie von Herbiziden und Insektiziden unzulässig ist;</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nur Arten der potenziell natürlichen Vegetation eingebracht werden dürfen, wobei nur heimische Baumarten unter Ausschluss eingebürgerter Arten zu verwenden sind. Gesellschaftstypische Nebenbaumarten dürfen dabei nicht als Hauptbaumart eingesetzt werden,</w:t>
      </w:r>
    </w:p>
    <w:p>
      <w:r>
        <w:t xml:space="preserve">eine Nutzung nur einzelstammweise bis truppweise erfolgt,</w:t>
      </w:r>
    </w:p>
    <w:p>
      <w:r>
        <w:t xml:space="preserve">Bäume mit Horsten oder Höhlen belassen werden,</w:t>
      </w:r>
    </w:p>
    <w:p>
      <w:r>
        <w:t xml:space="preserve">§ 4 Abs. 2 Nr. 21 gilt;</w:t>
      </w:r>
    </w:p>
    <w:p>
      <w:r>
        <w:t xml:space="preserve">für den Bereich der Jagd:</w:t>
      </w:r>
    </w:p>
    <w:p>
      <w:r>
        <w:t xml:space="preserve">die rechtmäßige Ausübung der Jagd,</w:t>
      </w:r>
    </w:p>
    <w:p>
      <w:r>
        <w:t xml:space="preserve">die Errichtung ortsunveränderlicher jagdlicher Einrichtungen zur Ansitzjagd mit Zustimmung der unteren Naturschutzbehörde. Transportable und mobile Ansitzeinrichtungen sind der unteren Naturschutzbehörde vor der Errichtung anzuzeigen. Die Naturschutzbehörde kann in begründeten Einzelfällen das Aufstellen verbieten, wenn es dem Schutzzweck entgegensteht. Die Entscheidung hierzu soll unverzüglich erfolgen.</w:t>
      </w:r>
    </w:p>
    <w:p>
      <w:r>
        <w:t xml:space="preserve">Im Übrigen bleibt die Anlage von Kirrungen, Ansaatwildwiesen und Wildäckern unzulässig;</w:t>
      </w:r>
    </w:p>
    <w:p>
      <w:r>
        <w:t xml:space="preserve">das nichtgewerbliche Sammeln von Pilzen und Wildfrüchten nach dem 1. August eines jeden Jahres;</w:t>
      </w:r>
    </w:p>
    <w:p>
      <w:r>
        <w:t xml:space="preserve">die im Sinne des § 10 des Brandenburgischen Straßengesetzes ordnungsgemäße Unterhaltung der dem öffentlichen Verkehr gewidmeten Straßen und Wege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Der Genehmigungsvorbehalt nach § 19 Abs. 3 Satz 2 des Landeswaldgesetzes bleibt unberührt.</w:t>
      </w:r>
    </w:p>
    <w:p>
      <w:r>
        <w:rPr>
          <w:color w:val="555555"/>
          <w:sz w:val="17"/>
        </w:rPr>
        <w:t xml:space="preserve">Zitiervorschlag: § 5 VO-NSG_TROCKENHAENGE_LAWITZ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https://recht.nulegal.eu/gesetze/VO-NSG_TROCKENHAENGE_LAWITZ/5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