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VO-NSG_TROCKENHAENGE_LAWITZ (Brandenburg) — Schutzzweck</w:t>
      </w:r>
    </w:p>
    <w:p>
      <w:r>
        <w:rPr>
          <w:color w:val="555555"/>
          <w:sz w:val="18"/>
        </w:rPr>
        <w:t xml:space="preserve">Verordnung über das Naturschutzgebiet „Trockenhänge Lawitz“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Schutzzweck des Naturschutzgebietes ist</w:t>
      </w:r>
    </w:p>
    <w:p>
      <w:r>
        <w:t xml:space="preserve">die Erhaltung, Entwicklung und Wiederherstellung als Lebensraum wild lebender Pflanzengesellschaften, insbesondere von Gras-, Stauden- und Saumfluren trockenwarmer bis frischer Standorte, extensiv genutzten Kalkäckern, Streuobstbeständen, Feldgehölzen sowie wärmeliebenden Gebüschen, Kiefern-Trauben-Eichen- und Erlen-Eschenwäldern;</w:t>
      </w:r>
    </w:p>
    <w:p>
      <w:r>
        <w:t xml:space="preserve">die Erhaltung und Entwicklung von Lebensräumen wild lebender Pflanzen, darunter gefährdeter, insbesondere trockenheits- und wärmeliebender Pflanzenarten wie zum Beispiel Acker-Hahnenfuß (Ranunculus arvensis), Acker-Wachtelweizen (Melampyrum arvense) und Sand-Schwingel (Festuca psammophila);</w:t>
      </w:r>
    </w:p>
    <w:p>
      <w:r>
        <w:t xml:space="preserve">die Erhaltung und Entwicklung des Gebietes als Lebens- beziehungsweise Rückzugsraum und potenzielles Wiederausbreitungszentrum wild lebender Tierarten, insbesondere der Vogel- und Insektenarten wärmegetönter Offen- und Halboffenlandschaften, darunter zahlreicher nach § 10 Abs. 2 Nr. 10 und 11 des Bundesnaturschutzgesetzes besonders und streng geschützter Arten wie zum Beispiel Schwarzspecht (Dryocopus martius), Wiedehopf (Upupa epops), Neuntöter (Lanius collurio), Grauammer (Emberi-za calandra), Bockkäfer (Oberea erythrocephala), Zwergbläuling (Cupido minimus) und Halbwürfelfalter (Pyrgus alveus);</w:t>
      </w:r>
    </w:p>
    <w:p>
      <w:r>
        <w:t xml:space="preserve">die Erhaltung der besonderen Eigenart und hervorragenden Schönheit des Gebietes mit seinen vielfältig strukturierten, mäßig bis stark geneigten Hängen;</w:t>
      </w:r>
    </w:p>
    <w:p>
      <w:r>
        <w:t xml:space="preserve">die Erhaltung des Gebietes als südlichstes Element im Biotopverbundsystem kontinentaler, trockenwarmer Standorte entlang der Randhänge des Odertals.</w:t>
      </w:r>
    </w:p>
    <w:p>
      <w:r>
        <w:t xml:space="preserve">(2) Die Unterschutzstellung dient der Erhaltung und Entwicklung des Gebietes von gemeinschaftlicher Bedeutung „Trockenhänge Lawitz“ (§ 7 Absatz 1 Nummer 6 des Bundesnaturschutzgesetzes) mit seinen Vorkommen von</w:t>
      </w:r>
    </w:p>
    <w:p>
      <w:r>
        <w:t xml:space="preserve">Labkraut-Eichen-Hainbuchenwald (Galio-Carpinetum) als natürlichem Lebensraumtyp von gemeinschaftlichem Interesse im Sinne von § 7 Absatz 1 Nummer 4 des Bundesnaturschutzgesetzes;</w:t>
      </w:r>
    </w:p>
    <w:p>
      <w:r>
        <w:t xml:space="preserve">Trockenen kalkreichen Sandrasen und Subpannonischen Steppen-Trockenrasen als prioritären natürlichen Lebensraumtypen im Sinne von § 7 Absatz 1 Nummer 5 des Bundesnaturschutzgesetzes.</w:t>
      </w:r>
    </w:p>
    <w:p>
      <w:r>
        <w:rPr>
          <w:color w:val="555555"/>
          <w:sz w:val="17"/>
        </w:rPr>
        <w:t xml:space="preserve">Zitiervorschlag: § 3 VO-NSG_TROCKENHAENGE_LAWITZ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https://recht.nulegal.eu/gesetze/VO-NSG_TROCKENHAENGE_LAWITZ/3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