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VO-NSG_TROCKENHAENGE_LAWITZ (Brandenburg) — In-Kraft-Treten</w:t>
      </w:r>
    </w:p>
    <w:p>
      <w:r>
        <w:rPr>
          <w:color w:val="555555"/>
          <w:sz w:val="18"/>
        </w:rPr>
        <w:t xml:space="preserve">Verordnung über das Naturschutzgebiet „Trockenhänge Lawitz“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Diese Verordnung tritt am Tage nach der Verkündung in Kraft. Ausgenommen davon sind die Maßgaben zur landwirtschaftlichen Bodennutzung nach § 5 Abs. 1 Nr. 1 Buchstabe a und c, die am 1. Juli 2004 in Kraft treten.</w:t>
      </w:r>
    </w:p>
    <w:p>
      <w:r>
        <w:t xml:space="preserve">Potsdam, den 26. November 2003</w:t>
      </w:r>
    </w:p>
    <w:p>
      <w:r>
        <w:t xml:space="preserve">Der Minister für Landwirtschaft,</w:t>
      </w:r>
    </w:p>
    <w:p>
      <w:r>
        <w:t xml:space="preserve">Umweltschutz und Raumordnung</w:t>
      </w:r>
    </w:p>
    <w:p>
      <w:r>
        <w:t xml:space="preserve">Wolfgang Birthler</w:t>
      </w:r>
    </w:p>
    <w:p>
      <w:r>
        <w:rPr>
          <w:color w:val="555555"/>
          <w:sz w:val="17"/>
        </w:rPr>
        <w:t xml:space="preserve">Zitiervorschlag: § 11 VO-NSG_TROCKENHAENGE_LAWITZ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https://recht.nulegal.eu/gesetze/VO-NSG_TROCKENHAENGE_LAWITZ/11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