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VO-NSG_STEPENITZ (Brandenburg) — Schutzzweck</w:t>
      </w:r>
    </w:p>
    <w:p>
      <w:r>
        <w:rPr>
          <w:color w:val="555555"/>
          <w:sz w:val="18"/>
        </w:rPr>
        <w:t xml:space="preserve">Verordnung über das Naturschutzgebiet „Stepenitz“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Schutzzweck des Naturschutzgebietes als reich gegliedertes Fließgewässersystem des Prignitzer Platten- und Höhenlandes mit weitgehend natürlichen beziehungsweise naturnahen hydrologischen Verhältnissen, verschiedenartigen Quellhorizonten und punktförmigen Quellen im Bereich der Talrandhänge und talrandnahen Auenbereiche ist</w:t>
      </w:r>
    </w:p>
    <w:p>
      <w:r>
        <w:t xml:space="preserve">die Erhaltung und Entwicklung als Lebensraum wild lebender Pflanzengesellschaften, insbesondere von Moorwäldern, Quellen und Quellfluren, Schwimmblatt- und Wasserpflanzengesellschaften, Röhrichten, Seggenrieden, Grünland frischer bis nasser Standorte mit kleinflächig vorkommenden Flutrasen sowie Trockenrasen;</w:t>
      </w:r>
    </w:p>
    <w:p>
      <w:r>
        <w:t xml:space="preserve">die Erhaltung und Entwicklung des Gebietes als Lebens- beziehungsweise Rückzugsraum und potenzielles Wiederausbreitungszentrum wild lebender Tierarten, insbesondere für an die Forellen- und Äschenregion gebundene Neunaugen und Fischarten sowie verschiedene Libellenarten, als Laichgewässer für Amphibien und als Rast-, Überwinterungs-, Fortpflanzungs- und Nahrungsgebiet seltener, vom Aussterben bedrohter Vogelarten, darunter nach § 10 Abs. 2 Nr. 10 und 11 des Bundesnaturschutzgesetzes besonders und streng geschützter Arten wie beispielsweise Schwarzstorch (Ciconia nigra), Kranich (Grus grus), Gebirgsstelze (Motacilla cinerea), Eisvogel (Alcedo atthis), Waldwasserläufer (Tringa ochropus) sowie Wechselkröte (Bufo viridis), Knoblauchkröte (Pelobates fusces), Kleiner Wasserfrosch (Rana lessonae), Laubfrosch (Hyla arborea) und Edelkrebs (Astacus astacus);</w:t>
      </w:r>
    </w:p>
    <w:p>
      <w:r>
        <w:t xml:space="preserve">die Erhaltung und Entwicklung des Fließgewässersystems aus wissenschaftlichen Gründen zur Beobachtung und Erforschung der tierischen und pflanzlichen Lebensgemeinschaften eines naturnahen Gewässersystems sowie der Abläufe im Rahmen einer naturnahen Wiederherstellung;</w:t>
      </w:r>
    </w:p>
    <w:p>
      <w:r>
        <w:t xml:space="preserve">die Erhaltung der besonderen Eigenart und hervorragenden Schönheit des Gebietes, das mit seinen natürlichen Gewässerläufen und naturnahen Waldbeständen sowie dem reich strukturierten Talraum für die Prignitz selten ist und eine besondere Vielfalt aufweist.</w:t>
      </w:r>
    </w:p>
    <w:p>
      <w:r>
        <w:t xml:space="preserve">(2) Die Unterschutzstellung dient der Erhaltung und Entwicklung des Gebietes von gemeinschaftlicher Bedeutung „Stepenitz“ (§ 7 Absatz 1 Nummer 6 des Bundesnaturschutzgesetzes), das Teile des ehemaligen Gebietes von gemeinschaftlicher Bedeutung „Stepenitz“ und das ehemalige Gebiet „Hainholz an der Stepenitz“ umfasst, mit seinen Vorkommen von</w:t>
      </w:r>
    </w:p>
    <w:p>
      <w:r>
        <w:t xml:space="preserve">Natürlichen eutrophen Seen mit einer Vegetation des Magnopotamions oder Hydrocharitions, Flüssen der planaren bis montanen Stufe mit Vegetation des Ranunculion fluitantis und des Callitricho-Batrachion, Feuchten Hochstaudenfluren der planaren und montanen bis alpinen Stufe, Mageren Flachland-Mähwiesen (Alopecurus pratensis, Sanguisorba officinalis), Hainsimsen-Buchenwald (Luzulo-Fagetum), Waldmeister-Buchenwald (Asperulo-Fagetum), Subatlantischem oder mitteleuropäischem Stieleichenwald oder Hainbuchenwald (Carpinion betuli) (Stellario-Carpinetum) und Alten bodensauren Eichenwäldern auf Sandebenen mit Quercus robur als natürlichen Lebensraumtypen von gemeinschaftlichem Interesse im Sinne von § 7 Absatz 1 Nummer 4 des Bundesnaturschutzgesetzes;</w:t>
      </w:r>
    </w:p>
    <w:p>
      <w:r>
        <w:t xml:space="preserve">Auenwäldern mit Alnus glutinosa und Fraxinus excelsior (Alno-Padion, Alnion incanae, Salicion albae) als prioritärem natürlichen Lebensraumtyp im Sinne von § 7 Absatz 1 Nummer 5 des Bundesnaturschutzgesetzes;</w:t>
      </w:r>
    </w:p>
    <w:p>
      <w:r>
        <w:t xml:space="preserve">Fischotter (Lutra lutra), Kammmolch (Triturus cristatus), Groppe (Cottus gobio), Flußneunauge (Lampetra fluviatilis), Bachneunauge (Lampetra planeri), Schlammpeitzger (Misgurnus fossilis), Bitterling (Rhodeus amarus), Lachs (Salmo salar), Kleiner Flußmuschel (Unio crassus), Schmaler Windelschnecke (Vertigo angustior) und Bauchiger Windelschnecke (Vertigo moulinsiana) als Arten von gemeinschaftlichem Interesse im Sinne von § 7 Absatz 2 Nummer 10 des Bundesnaturschutzgesetzes, einschließlich ihrer für Fortpflanzung, Ernährung, Wanderung und Überwinterung wichtigen Lebensräume.</w:t>
      </w:r>
    </w:p>
    <w:p>
      <w:r>
        <w:rPr>
          <w:color w:val="555555"/>
          <w:sz w:val="17"/>
        </w:rPr>
        <w:t xml:space="preserve">Zitiervorschlag: § 3 VO-NSG_STEPENITZ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https://recht.nulegal.eu/gesetze/VO-NSG_STEPENITZ/3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