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VO-NSG_STEPENITZ (Brandenburg) — Erklärung zum Schutzgebiet</w:t>
      </w:r>
    </w:p>
    <w:p>
      <w:r>
        <w:rPr>
          <w:color w:val="555555"/>
          <w:sz w:val="18"/>
        </w:rPr>
        <w:t xml:space="preserve">Verordnung über das Naturschutzgebiet „Stepenitz“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21.08.2026 (konsolidierte Textfassung, kein amtliches Inkrafttretensdatum)</w:t>
      </w:r>
    </w:p>
    <w:p>
      <w:r>
        <w:t xml:space="preserve">Die in § 2 näher bezeichnete Fläche im Landkreis Prignitz wird als Naturschutzgebiet festgesetzt. Das Naturschutzgebiet trägt die Bezeichnung „Stepenitz“.</w:t>
      </w:r>
    </w:p>
    <w:p>
      <w:r>
        <w:rPr>
          <w:color w:val="555555"/>
          <w:sz w:val="17"/>
        </w:rPr>
        <w:t xml:space="preserve">Zitiervorschlag: § 1 VO-NSG_STEPENITZ (Brandenburg)</w:t>
      </w:r>
    </w:p>
    <w:p>
      <w:r>
        <w:rPr>
          <w:color w:val="555555"/>
          <w:sz w:val="17"/>
        </w:rPr>
        <w:t xml:space="preserve">Quelle: bravors, abgerufen 21.08.2026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https://recht.nulegal.eu/gesetze/VO-NSG_STEPENITZ/1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