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VO-NSG_SPREETAL (Brandenburg) — Ordnungswidrigkeiten</w:t>
      </w:r>
    </w:p>
    <w:p>
      <w:r>
        <w:rPr>
          <w:color w:val="555555"/>
          <w:sz w:val="18"/>
        </w:rPr>
        <w:t xml:space="preserve">Verordnung über das Naturschutzgebiet „Spreetal zwischen Neubrück und Fürstenwalde“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Maßgaben des § 5 zuwiderhandelt.</w:t>
      </w:r>
    </w:p>
    <w:p>
      <w:r>
        <w:t xml:space="preserve">(2) Ordnungswidrigkeiten nach Absatz 1 können gemäß § 40 des Brandenburgischen Naturschutzausführungsgesetzes mit einer Geldbuße bis zu fünfundsechzigtausend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VO-NSG_SPREETAL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https://recht.nulegal.eu/gesetze/VO-NSG_SPREETAL/8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