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VO-NSG_SPREETAL (Brandenburg) — Inkrafttreten, Außerkrafttreten</w:t>
      </w:r>
    </w:p>
    <w:p>
      <w:r>
        <w:rPr>
          <w:color w:val="555555"/>
          <w:sz w:val="18"/>
        </w:rPr>
        <w:t xml:space="preserve">Verordnung über das Naturschutzgebiet „Spreetal zwischen Neubrück und Fürstenwalde“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01.09.2026 (konsolidierte Textfassung, kein amtliches Inkrafttretensdatum)</w:t>
      </w:r>
    </w:p>
    <w:p>
      <w:r>
        <w:t xml:space="preserve">(1) § 5 Absatz 1 Nummer 1 Buchstabe c tritt am 1. Januar 2022 in Kraft. Im Übrigen tritt diese Verordnung am Tag nach der Verkündung in Kraft.</w:t>
      </w:r>
    </w:p>
    <w:p>
      <w:r>
        <w:t xml:space="preserve">(2) Mit dem Inkrafttreten nach Absatz 1 Satz 2 tritt die Nummer 11 des Bezirks Frankfurt (Oder) der Anlage der Anordnung Nr. 1 über Naturschutzgebiete vom 30. März 1961 (GBl. II Nr. 27 S. 166) außer Kraft.</w:t>
      </w:r>
    </w:p>
    <w:p>
      <w:r>
        <w:t xml:space="preserve">Einzelnorm</w:t>
      </w:r>
    </w:p>
    <w:p>
      <w:r>
        <w:t xml:space="preserve">Potsdam, den 20. Dezember 2021</w:t>
      </w:r>
    </w:p>
    <w:p>
      <w:r>
        <w:t xml:space="preserve">Der Minister für Landwirtschaft,</w:t>
      </w:r>
    </w:p>
    <w:p>
      <w:r>
        <w:t xml:space="preserve">Umwelt und Klimaschutz</w:t>
      </w:r>
    </w:p>
    <w:p>
      <w:r>
        <w:t xml:space="preserve">Axel Vogel</w:t>
      </w:r>
    </w:p>
    <w:p>
      <w:r>
        <w:rPr>
          <w:color w:val="555555"/>
          <w:sz w:val="17"/>
        </w:rPr>
        <w:t xml:space="preserve">Zitiervorschlag: § 11 VO-NSG_SPREETAL (Brandenburg)</w:t>
      </w:r>
    </w:p>
    <w:p>
      <w:r>
        <w:rPr>
          <w:color w:val="555555"/>
          <w:sz w:val="17"/>
        </w:rPr>
        <w:t xml:space="preserve">Quelle: bravors, abgerufen 02.09.2026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https://recht.nulegal.eu/gesetze/VO-NSG_SPREETAL/11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