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VO-NSG_SPREETAL (Brandenburg) — Geltendmachen von Rechtsmängeln</w:t>
      </w:r>
    </w:p>
    <w:p>
      <w:r>
        <w:rPr>
          <w:color w:val="555555"/>
          <w:sz w:val="18"/>
        </w:rPr>
        <w:t xml:space="preserve">Verordnung über das Naturschutzgebiet „Spreetal zwischen Neubrück und Fürstenwalde“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Eine Verletzung der in § 9 des Brandenburgischen Naturschutzaus​führungsgesetzes genannten Verfahrens- und Formvorschriften kann gegen diese Verordnung nur innerhalb eines Jahres nach ihrem Inkrafttreten schriftlich unter Angabe der verletzten Rechtsvorschrift und des Sachverhalts, der die Verletzung begründen soll, gegenüber dem für Naturschutz und Landschaftspflege zuständigen Fachministerium geltend gemacht werden. Das Gleiche gilt für Mängel bei der Beschreibung des Schutzzwecks sowie für Mängel bei der Prüfung der Erforderlichkeit der Unterschutzstellung einzelner Flächen. Mängel im Abwägungsvorgang sind nur dann beachtlich, wenn sie offensichtlich und auf das Abwägungsergebnis von Einfluss gewesen sind und die Mängel in der Abwägung innerhalb von vier Jahren nach Inkrafttreten dieser Verordnung unter den in Satz 1 genannten Voraussetzungen geltend gemacht worden sind.</w:t>
      </w:r>
    </w:p>
    <w:p>
      <w:r>
        <w:t xml:space="preserve">Einzelnorm</w:t>
      </w:r>
    </w:p>
    <w:p>
      <w:r>
        <w:rPr>
          <w:color w:val="555555"/>
          <w:sz w:val="17"/>
        </w:rPr>
        <w:t xml:space="preserve">Zitiervorschlag: § 10 VO-NSG_SPREETAL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https://recht.nulegal.eu/gesetze/VO-NSG_SPREETAL/10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