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VO-NSG_SCHWENOWER_FORST (Brandenburg) — Zulässige Handlungen</w:t>
      </w:r>
    </w:p>
    <w:p>
      <w:r>
        <w:rPr>
          <w:color w:val="555555"/>
          <w:sz w:val="18"/>
        </w:rPr>
        <w:t xml:space="preserve">Verordnung über das Naturschutzgebiet „Schwenower Forst“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der §§ 4 und 5 bleiben folgende Handlungen:</w:t>
      </w:r>
    </w:p>
    <w:p>
      <w:r>
        <w:t xml:space="preserve">die den in § 1b Abs. 4 des Brandenburgischen Naturschutzgesetzes genannten Anforderungen und Grundsätzen der guten fachlichen Praxis entsprechende landwirtschaftliche Bodennutzung auf den bisher rechtmäßig dafür genutzten Flächen außerhalb der Zone 1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und Sekundärrohstoffdünger einzusetzen. Im Übrigen gilt § 4 Abs. 2 Nr. 23. Ausgenommen von dieser Maßgabe ist die Grünlandnutzung des Flurstücks 37, Flur 1 der Gemarkung Werder,</w:t>
      </w:r>
    </w:p>
    <w:p>
      <w:r>
        <w:t xml:space="preserve">auf der Pfeifengraswiese in der Gemarkung Schwenow, Flur 3 auf dem Flurstück 120 über die Maßgaben der Buchstaben a und c hinaus § 4 Abs. 2 Nr. 17 gilt,</w:t>
      </w:r>
    </w:p>
    <w:p>
      <w:r>
        <w:t xml:space="preserve">§ 4 Abs. 2 Nr. 24 gilt sowie Gehölzbestände und Gewässerufer von der Beweidung auszunehmen sind;</w:t>
      </w:r>
    </w:p>
    <w:p>
      <w:r>
        <w:t xml:space="preserve">die den in § 1b Abs. 5 des Brandenburgischen Naturschutzgesetzes genannten Anforderungen entsprechende forstwirtschaftliche Bodennutzung auf den bisher rechtmäßig dafür genutzten Flächen außerhalb der Zone 1 mit der Maßgabe, dass</w:t>
      </w:r>
    </w:p>
    <w:p>
      <w:r>
        <w:t xml:space="preserve">auf Mooren keine forstwirtschaftlichen Maßnahmen erfolgen,</w:t>
      </w:r>
    </w:p>
    <w:p>
      <w:r>
        <w:t xml:space="preserve">nur Arten der potenziell natürlichen Vegetation eingebracht werden dürfen, wobei nur heimische Baumarten unter Ausschluss eingebürgerter Arten zu verwenden sind. Nebenbaumarten dürfen dabei nicht als Hauptbaumart eingesetzt werden,</w:t>
      </w:r>
    </w:p>
    <w:p>
      <w:r>
        <w:t xml:space="preserve">Kahlhiebe nur bis zu einer Flächengröße von 0,5 Hektar erfolgen,</w:t>
      </w:r>
    </w:p>
    <w:p>
      <w:r>
        <w:t xml:space="preserve">stehendes Totholz mit mehr als 30 Zentimetern Stammdurchmesser in 1,30 Meter Höhe über dem Stammfuß nicht gefällt wird und liegendes Totholz an Ort und Stelle verbleibt,</w:t>
      </w:r>
    </w:p>
    <w:p>
      <w:r>
        <w:t xml:space="preserve">§ 4 Abs. 2 Nr. 23 gilt;</w:t>
      </w:r>
    </w:p>
    <w:p>
      <w:r>
        <w:t xml:space="preserve">die Durchführung forstlicher Forschungsvorhaben außerhalb der Zone 1 mit der Maßgabe, dass § 6 Abs. 1 Nr. 2 Buchstabe a bis e gilt;</w:t>
      </w:r>
    </w:p>
    <w:p>
      <w:r>
        <w:t xml:space="preserve">die den in § 1b Abs. 6 des Brandenburgischen Naturschutzgesetzes genannten Anforderungen in Verbindung mit dem Fischereigesetz für das Land Brandenburg entsprechende fischereiwirtschaftliche Flächennutzung auf den bisher rechtmäßig dafür genutzten Flächen außerhalb der Zone 1 mit der Maßgabe, dass</w:t>
      </w:r>
    </w:p>
    <w:p>
      <w:r>
        <w:t xml:space="preserve">der Fischbesatz nur mit heimischen Arten erfolgt und dabei eine Gefährdung der in § 3 Abs. 2 Nr. 3 genannten Arten ausgeschlossen ist; § 13 der Fischereiordnung des Landes Brandenburg bleibt unberührt,</w:t>
      </w:r>
    </w:p>
    <w:p>
      <w:r>
        <w:t xml:space="preserve">der Besatz mit Karpfen unzulässig ist,</w:t>
      </w:r>
    </w:p>
    <w:p>
      <w:r>
        <w:t xml:space="preserve">Fanggeräte und Fangmittel so einzusetzen oder auszustatten sind, dass ein Einschwimmen und eine Gefährdung des Fischotters weitgehend ausgeschlossen ist,</w:t>
      </w:r>
    </w:p>
    <w:p>
      <w:r>
        <w:t xml:space="preserve">§ 4 Abs. 2 Nr. 19 gilt;</w:t>
      </w:r>
    </w:p>
    <w:p>
      <w:r>
        <w:t xml:space="preserve">die rechtmäßige Ausübung der Angelfischerei außerhalb der Zone 1 mit der Maßgabe, dass</w:t>
      </w:r>
    </w:p>
    <w:p>
      <w:r>
        <w:t xml:space="preserve">das Angeln am Drobschsee und am Schwenowsee nur vom Boot aus und unter Beachtung des § 4 Abs. 2 Nr. 13 zulässig ist. Die Einlassstellen sind in der anliegenden Kartenskizze und in der topografischen Karte gekennzeichnet,</w:t>
      </w:r>
    </w:p>
    <w:p>
      <w:r>
        <w:t xml:space="preserve">das Angeln am Tiefen- oder Grubensee nur vom Ufer aus innerhalb der in der anliegenden Kartenskizze und in der topografischen Karte gekennzeichneten Stellen und Bereichen zulässig ist,</w:t>
      </w:r>
    </w:p>
    <w:p>
      <w:r>
        <w:t xml:space="preserve">§ 4 Abs. 2 Nr. 19 gilt;</w:t>
      </w:r>
    </w:p>
    <w:p>
      <w:r>
        <w:t xml:space="preserve">für den Bereich der Jagd:</w:t>
      </w:r>
    </w:p>
    <w:p>
      <w:r>
        <w:t xml:space="preserve">die rechtmäßige Ausübung der Jagd,</w:t>
      </w:r>
    </w:p>
    <w:p>
      <w:r>
        <w:t xml:space="preserve">die Errichtung ortsunveränderlicher jagdlicher Einrichtungen zur Ansitzjagd außerhalb der Zone 1 mit Zustimmung der unteren Naturschutzbehörde. Die Zustimmung ist zu erteilen, wenn der Schutzzweck nicht beeinträchtigt wird,</w:t>
      </w:r>
    </w:p>
    <w:p>
      <w:r>
        <w:t xml:space="preserve">die Aufstellung mobiler Ansitzeinrichtungen,</w:t>
      </w:r>
    </w:p>
    <w:p>
      <w:r>
        <w:t xml:space="preserve">die Anlage von Kirrungen außerhalb gesetzlich geschützter Biotope und außerhalb der in § 3 Abs. 2 Nr. 1 und 2 genannten Lebensraumtypen.</w:t>
      </w:r>
    </w:p>
    <w:p>
      <w:r>
        <w:t xml:space="preserve">Unzulässig bleiben Ablenkfütterungen und Fütterungen in Notzeiten sowie die Anlage von Ansaatwildwiesen und Wildäckern;</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im Rahmen der nach Absatz 1 zulässigen Handlungen; das Gestattungserfordernis nach § 16 Abs. 2 des Waldgesetzes des Landes Brandenburg bleibt unberührt.</w:t>
      </w:r>
    </w:p>
    <w:p>
      <w:r>
        <w:rPr>
          <w:color w:val="555555"/>
          <w:sz w:val="17"/>
        </w:rPr>
        <w:t xml:space="preserve">Zitiervorschlag: § 6 VO-NSG_SCHWENOWER_FORST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https://recht.nulegal.eu/gesetze/VO-NSG_SCHWENOWER_FORST/6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