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VO-NSG_SCHWENOWER_FORST (Brandenburg) — Verbote</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6 zulässigen Handlungen sind in dem Naturschutzgebiet gemäß § 21 Abs. 2 Satz 1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w:t>
      </w:r>
    </w:p>
    <w:p>
      <w:r>
        <w:t xml:space="preserve">außerhalb der für den öffentlichen Verkehr gewidmeten Straßen und Wege sowie außerhalb der nach öffentlichem Straßenrecht oder außerhalb der in Anlage 3 als Reitwege markierten Wege zu reiten;</w:t>
      </w:r>
    </w:p>
    <w:p>
      <w:r>
        <w:t xml:space="preserve">mit Fahrzeugen außerhalb der für den öffentlichen Verkehr gewidmeten Straßen und Wege zu fahren oder Fahrzeuge dort abzustellen, zu warten oder zu pflegen;</w:t>
      </w:r>
    </w:p>
    <w:p>
      <w:r>
        <w:t xml:space="preserve">zu tauchen und außerhalb von der Badestelle des Zeltplatzes am Grubensee sowie von der bestehenden Badestelle am Nordostufer des Grubensees aus zu baden; die Badestellen sind in der Kartenskizze und in den topografischen Karten gekennzeichnet;</w:t>
      </w:r>
    </w:p>
    <w:p>
      <w:r>
        <w:t xml:space="preserve">Wasserfahrzeuge aller Art einschließlich Surfbretter oder Luftmatratzen zu benutzen; ausgenommen hiervon bleibt die Benutzung von drei Angelkähnen oder Ruderbooten am Drobschsee und von sechs Angelkähnen oder Ruderbooten am Schwenowsee. Die Boote sind bei der unteren Naturschutzbehörde zu registrieren und zu kennzeichnen;</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und Sekundärrohstoffdünger (zum Beispiel Abwasser, Klärschlamm) zum Zwecke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oder neu anzusäen.</w:t>
      </w:r>
    </w:p>
    <w:p>
      <w:r>
        <w:rPr>
          <w:color w:val="555555"/>
          <w:sz w:val="17"/>
        </w:rPr>
        <w:t xml:space="preserve">Zitiervorschlag: § 4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