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VO-NSG_SCHWENOWER_FORST (Brandenburg) — In-Kraft-Treten</w:t>
      </w:r>
    </w:p>
    <w:p>
      <w:r>
        <w:rPr>
          <w:color w:val="555555"/>
          <w:sz w:val="18"/>
        </w:rPr>
        <w:t xml:space="preserve">Verordnung über das Naturschutzgebiet „Schwenower Forst“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6 Abs. 1 Nr. 1 Buchstabe a und b dieser Verordnung tritt am 1. Juli 2005 in Kraft. Im Übrigen tritt diese Verordnung am Tage nach der Verkündung in Kraft.</w:t>
      </w:r>
    </w:p>
    <w:p>
      <w:r>
        <w:t xml:space="preserve">Potsdam, den 8. September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12 VO-NSG_SCHWENOWER_FORST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https://recht.nulegal.eu/gesetze/VO-NSG_SCHWENOWER_FORST/12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