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VO-NSG_SCHNELLE_HAVEL (Brandenburg) — Verbote</w:t>
      </w:r>
    </w:p>
    <w:p>
      <w:r>
        <w:rPr>
          <w:color w:val="555555"/>
          <w:sz w:val="18"/>
        </w:rPr>
        <w:t xml:space="preserve">Verordnung über das Naturschutzgebiet „Schnelle Havel“</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Vorbehaltlich der nach § 5 zulässigen Handlungen sind in dem Naturschutzgebiet gemäß § 23 Absatz 2 Satz 1 des Bundesnaturschutzgesetzes alle Handlungen verboten, die das Gebiet, seinen Naturhaushalt oder einzelne seiner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außerhalb von Bruchwäldern, Röhrichten, Feuchtwiesen und Mooren das Betreten zum Zweck der Erholung sowie des Sammelns von Pilzen und Wildfrüchten gemäß § 5 Absatz 1 Nummer 9 jeweils nach dem 30. Juni eines jeden Jahres;</w:t>
      </w:r>
    </w:p>
    <w:p>
      <w:r>
        <w:t xml:space="preserve">außerhalb der dem öffentlichen Verkehr gewidmeten Straßen und Wege sowie außerhalb von Wegen, die von zwei- oder mehrspurigen Fahrzeugen befahren werden können, sowie außerhalb der nach öffentlichem Straßenrecht oder gemäß § 22 Absatz 5 des Brandenburgischen Naturschutzausführungsgesetzes als Reitwege markierten Wege und außerhalb der Waldbrandwundstreifen zu reiten; § 15 Absatz 6 des Waldgesetzes des Landes Brandenburg bleibt unberührt;</w:t>
      </w:r>
    </w:p>
    <w:p>
      <w:r>
        <w:t xml:space="preserve">mit nicht motorisierten Fahrzeugen außerhalb der Wege sowie mit Kraftfahrzeugen außerhalb der dem öffentlichen Verkehr gewidmeten Straßen und Wege zu fahren oder Fahrzeuge dort abzustellen, zu warten oder zu pflegen. Hinsichtlich des Fahrens mit bespannten Fahrzeugen gelten darüber hinaus die Regelungen des Brandenburgischen Naturschutzausführungsgesetzes und des Waldgesetzes des Landes Brandenburg;</w:t>
      </w:r>
    </w:p>
    <w:p>
      <w:r>
        <w:t xml:space="preserve">zu baden oder zu tauchen; ausgenommen ist das Baden von den rechtmäßig bestehenden Stegen aus sowie von der in den Karten zu dieser Verordnung nach § 2 Absatz 2 (Topografische Karte im Maßstab 1 : 10 000, Blattnummer 6 und Liegenschaftskarte, Blattnummer 31) eingetragenen Badestelle an der Schnellen Havel östlich des Ortsteils Neu-Holland;</w:t>
      </w:r>
    </w:p>
    <w:p>
      <w:r>
        <w:t xml:space="preserve">Wasserfahrzeuge aller Art einschließlich Surfbretter oder Luftmatratzen außerhalb der Bundeswasserstraßen Malzer Kanal, des Oder-Havel-Kanals, des Vosskanals sowie der Havel südlich des Malzer Kanals bei Friedrichsthal zu benutzen; ausgenommen bleibt darüber hinaus das abschnittsweise Befahren der Schnellen Havel mit muskelkraftbetriebenen Booten gemäß § 5 Absatz 1 Nummer 8;</w:t>
      </w:r>
    </w:p>
    <w:p>
      <w:r>
        <w:t xml:space="preserve">Modellsport oder ferngesteuerte Modelle zu betreiben oder feste Einrichtungen dafür bereitzuhalten;</w:t>
      </w:r>
    </w:p>
    <w:p>
      <w:r>
        <w:t xml:space="preserve">Hunde frei laufen zu lassen;</w:t>
      </w:r>
    </w:p>
    <w:p>
      <w:r>
        <w:t xml:space="preserve">Entwässerungsmaßnahmen über den bisherigen Umfang hinaus durchzuführen, Gewässer jeder Art entgegen dem Schutzzweck zu verändern oder in anderer Weise den Wasserhaushalt des Gebietes zu beeinträchtigen;</w:t>
      </w:r>
    </w:p>
    <w:p>
      <w:r>
        <w:t xml:space="preserve">Düngemittel einschließlich Wirtschaftsdünger (zum Beispiel Gülle, Rückstände aus Biogasanlagen) und Sekundärrohstoffdünger (wie zum Beispiel solche aus Abwasser, Klärschlamm und Bioabfällen, wie zum Beispiel Schlempe) zum Zweck der Düngung sowie Abwasser zu sonstigen Zwecken zu lagern, auf- oder auszubringen oder einzuleiten;</w:t>
      </w:r>
    </w:p>
    <w:p>
      <w:r>
        <w:t xml:space="preserve">sonstige Abfälle im Sinne des Kreislaufwirtschafts- und Abfallgesetzes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umzubrechen oder neu anzusäen.</w:t>
      </w:r>
    </w:p>
    <w:p>
      <w:r>
        <w:rPr>
          <w:color w:val="555555"/>
          <w:sz w:val="17"/>
        </w:rPr>
        <w:t xml:space="preserve">Zitiervorschlag: § 4 VO-NSG_SCHNELLE_HAVEL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https://recht.nulegal.eu/gesetze/VO-NSG_SCHNELLE_HAVEL/4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VO-NSG_SCHNELLE_HAVEL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