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VO-NSG_PLATKOWSEE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Pflege-, Entwicklungs- und Wiederherstellungsmaßnahmen werden als Zielvorgaben benannt:</w:t>
      </w:r>
    </w:p>
    <w:p>
      <w:r>
        <w:t xml:space="preserve">das Grünland südwestlich der Bahngleise soll nach Möglichkeit durch Schließen der Gräben und Rückbau von Entwässerungsanlagen schrittweise wiedervernässt werden;</w:t>
      </w:r>
    </w:p>
    <w:p>
      <w:r>
        <w:t xml:space="preserve">im Grünland südwestlich von Alt Placht soll der durchschnittliche Grundwasserflurabstand durch geeignete Maßnahmen in den Monaten Juni bis August eines jeden Jahres nicht niedriger als 0,4 Meter unter Flur gehalten werden;</w:t>
      </w:r>
    </w:p>
    <w:p>
      <w:r>
        <w:t xml:space="preserve">die Gewässersohle des Grabens nordwestlich des Griebchensees soll zur Wiedervernässung der Niederung angehoben werden;</w:t>
      </w:r>
    </w:p>
    <w:p>
      <w:r>
        <w:t xml:space="preserve">im Bereich des Glambecksees, des Plachter Haussees, des Andreasbruchs und des Torfbruchs Densow sollen Maßnahmen zur Wasserrückhaltung erfolgen;</w:t>
      </w:r>
    </w:p>
    <w:p>
      <w:r>
        <w:t xml:space="preserve">das Kesselmoor nordöstlich des Glambecksees soll entkusselt werden;</w:t>
      </w:r>
    </w:p>
    <w:p>
      <w:r>
        <w:t xml:space="preserve">die Marmorkarpfen im Platkowsee sollen abgefischt werden.</w:t>
      </w:r>
    </w:p>
    <w:p>
      <w:r>
        <w:rPr>
          <w:color w:val="555555"/>
          <w:sz w:val="17"/>
        </w:rPr>
        <w:t xml:space="preserve">Zitiervorschlag: § 6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