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VO-NSG_PLATKOWSEE (Brandenburg) — Zulässige Handlungen</w:t>
      </w:r>
    </w:p>
    <w:p>
      <w:r>
        <w:rPr>
          <w:color w:val="555555"/>
          <w:sz w:val="18"/>
        </w:rPr>
        <w:t xml:space="preserve">Verordnung über das Naturschutzgebiet „Platkowsee“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den in § 1b Abs. 4 des Brandenburgischen Naturschutzgesetzes genannten Anforderungen und Grundsätzen entsprechende landwirtschaftliche Bodennutzung auf den bisher rechtmäßig dafür genutzten Flächen mit der Maßgabe, dass</w:t>
      </w:r>
    </w:p>
    <w:p>
      <w:r>
        <w:t xml:space="preserve">Grünland als Wiese oder Weide genutzt wird und die jährliche Zufuhr an Pflanzennährstoffen über Düngemittel inklusive der Exkremente von Weidetieren je Hektar Grünland die Menge nicht überschreitet, die dem Nährstoffäquivalent des Dunganfalls von 1,4 Großvieheinheiten (GVE) entspricht, ohne chemisch-synthetische Stickstoffdüngemittel, Gülle und Sekundärrohstoffdüngemittel wie zum Beispiel Schmutzwasser und Klärschlamm einzusetzen,</w:t>
      </w:r>
    </w:p>
    <w:p>
      <w:r>
        <w:t xml:space="preserve">§ 4 Abs. 2 Nr. 23 und 24 gilt;</w:t>
      </w:r>
    </w:p>
    <w:p>
      <w:r>
        <w:t xml:space="preserve">die den in § 1b Abs. 5 des Brandenburgischen Naturschutzgesetzes genannten Anforderungen entsprechende forstwirtschaftliche Bodennutzung auf den bisher rechtmäßig dafür genutzten Flächen mit der Maßgabe, dass</w:t>
      </w:r>
    </w:p>
    <w:p>
      <w:r>
        <w:t xml:space="preserve">nur Baumarten der potenziell natürlichen Vegetation eingebracht werden,</w:t>
      </w:r>
    </w:p>
    <w:p>
      <w:r>
        <w:t xml:space="preserve">absterbende Bäume sowie liegendes und stehendes Totholz in ausreichendem Umfang im Bestand verbleiben, soweit Waldschutzbelange dem nicht entgegenstehen,</w:t>
      </w:r>
    </w:p>
    <w:p>
      <w:r>
        <w:t xml:space="preserve">Holzrücken mit Fahrzeugen nur auf Wegen und Rückegassen zulässig ist,</w:t>
      </w:r>
    </w:p>
    <w:p>
      <w:r>
        <w:t xml:space="preserve">Kahlschläge über 0,5 Hektar verboten sind,</w:t>
      </w:r>
    </w:p>
    <w:p>
      <w:r>
        <w:t xml:space="preserve">§ 4 Abs. 2 Nr. 17 und 23 gilt;</w:t>
      </w:r>
    </w:p>
    <w:p>
      <w:r>
        <w:t xml:space="preserve">die den in § 1b Abs. 6 des Brandenburgischen Naturschutzgesetzes genannten Anforderungen in Verbindung mit dem Fischereigesetz für das Land Brandenburg entsprechende fischereiwirtschaftliche Flächennutzung in der bisherigen Art und im bisherigen Umfang auf den bisher rechtmäßig dafür genutzten Flächen mit der Maßgabe, dass</w:t>
      </w:r>
    </w:p>
    <w:p>
      <w:r>
        <w:t xml:space="preserve">Fischbesatz nur zur Entwicklung eines naturnahen Artenspektrums und naturnaher Populationsstärken erfolgt,</w:t>
      </w:r>
    </w:p>
    <w:p>
      <w:r>
        <w:t xml:space="preserve">Reusen so einzusetzen oder auszustatten sind, dass ein Einschwimmen und eine Gefährdung des Fischotters weitgehend ausgeschlossen sind,</w:t>
      </w:r>
    </w:p>
    <w:p>
      <w:r>
        <w:t xml:space="preserve">der Besatz mit Karpfen verboten ist,</w:t>
      </w:r>
    </w:p>
    <w:p>
      <w:r>
        <w:t xml:space="preserve">der Fischbesatz im Griebchensee ausschließlich mit Schlei und Hecht erfolgt,</w:t>
      </w:r>
    </w:p>
    <w:p>
      <w:r>
        <w:t xml:space="preserve">§ 4 Abs. 2 Nr. 19 gilt;</w:t>
      </w:r>
    </w:p>
    <w:p>
      <w:r>
        <w:t xml:space="preserve">die rechtmäßige Ausübung der Angelfischerei in der bisherigen Art und im bisherigen Umfang mit der Maßgabe, dass</w:t>
      </w:r>
    </w:p>
    <w:p>
      <w:r>
        <w:t xml:space="preserve">am Griebchensee nur vom Ufer oder von Eisflächen aus geangelt wird,</w:t>
      </w:r>
    </w:p>
    <w:p>
      <w:r>
        <w:t xml:space="preserve">§ 4 Abs. 2 Nr. 19 und 22 gilt;</w:t>
      </w:r>
    </w:p>
    <w:p>
      <w:r>
        <w:t xml:space="preserve">für den Bereich der Jagd:</w:t>
      </w:r>
    </w:p>
    <w:p>
      <w:r>
        <w:t xml:space="preserve">die rechtmäßige Ausübung der Jagd mit der Maßgabe, dass</w:t>
      </w:r>
    </w:p>
    <w:p>
      <w:r>
        <w:t xml:space="preserve">aa) die Jagd in der Zeit vom 1. März bis 30. Juni eines jeden Jahres nur vom Ansitz aus erfolgt,</w:t>
      </w:r>
    </w:p>
    <w:p>
      <w:r>
        <w:t xml:space="preserve">bb) die Jagd auf Wasservögel nur in der Zeit vom 15. November eines jeden Jahres bis zum Ende der gesetzlichen Jagdzeit gestattet ist,</w:t>
      </w:r>
    </w:p>
    <w:p>
      <w:r>
        <w:t xml:space="preserve">die Errichtung ortsunveränderlicher jagdlicher Einrichtungen zur Ansitzjagd mit Zustimmung der unteren Naturschutzbehörde. Die Zustimmung ist zu erteilen, wenn der Schutzzweck nicht beeinträchtigt wird,</w:t>
      </w:r>
    </w:p>
    <w:p>
      <w:r>
        <w:t xml:space="preserve">das Aufstellen transportabler und mobiler Einrichtungen zur Ansitzjagd,</w:t>
      </w:r>
    </w:p>
    <w:p>
      <w:r>
        <w:t xml:space="preserve">die Anlage von Ansaatwildwiesen und Wildäckern sowie die Anlage von Kirrungen außerhalb von geschützten Biotopen;</w:t>
      </w:r>
    </w:p>
    <w:p>
      <w:r>
        <w:t xml:space="preserve">das nichtgewerbliche Sammeln von Pilzen und Wildfrüchten nach dem 1. Juli eines jeden Jahres;</w:t>
      </w:r>
    </w:p>
    <w:p>
      <w:r>
        <w:t xml:space="preserve">das Befahren</w:t>
      </w:r>
    </w:p>
    <w:p>
      <w:r>
        <w:t xml:space="preserve">des Platkowsees mit durch Muskelkraft betriebenen Booten,</w:t>
      </w:r>
    </w:p>
    <w:p>
      <w:r>
        <w:t xml:space="preserve">des Glambecksees mit höchstens zehn muskelkraftbetriebenen Booten außerhalb des in der Flurkarte und in der topografischen Karte gekennzeichneten Bereiches. Die Boote sind bei der unteren Naturschutzbehörde zu registrieren und einheitlich zu kennzeichnen;</w:t>
      </w:r>
    </w:p>
    <w:p>
      <w:r>
        <w:t xml:space="preserve">das Baden im Platkowsee und auf den in den topografischen Karten gekennzeichneten Bereichen im Glambecksee;</w:t>
      </w:r>
    </w:p>
    <w:p>
      <w:r>
        <w:t xml:space="preserve">die im Sinne des § 10 des Brandenburgischen Straßengesetzes ordnungsgemäße Unterhaltung der dem öffentlichen Verkehr gewidmeten Straßen und Wege, die im Sinne der §§ 28 des Wasserhaushaltsgesetzes und 78 des Brandenburgischen Wassergesetzes ordnungsgemäße Unterhaltung der Gewässer sowie die ordnungsgemäße Unterhaltung sonstiger rechtmäßig bestehender Anlagen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altlastverdächtigen 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unteren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die Durchführung des Lychensee-Laufes entlang der Alten Templiner Landstraße und des markierten Wanderweges am Nordufer des Platkowsees am letzten Wochenende des Monats April eines jeden Jahres. Zur Berücksichtigung des Schutzzwecks hat eine Abstimmung mit der unteren Naturschutzbehörde zu erfolgen.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sowie für das Betreten und Befahren im Rahmen der nach Absatz 1 zulässigen Handlungen; das Gestattungserfordernis nach § 16 Abs. 2 des Waldgesetzes des Landes Brandenburg bleibt unberührt.</w:t>
      </w:r>
    </w:p>
    <w:p>
      <w:r>
        <w:rPr>
          <w:color w:val="555555"/>
          <w:sz w:val="17"/>
        </w:rPr>
        <w:t xml:space="preserve">Zitiervorschlag: § 5 VO-NSG_PLATKOWSEE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https://recht.nulegal.eu/gesetze/VO-NSG_PLATKOWSEE/5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