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VO-NSG_PLATKOWSEE (Brandenburg) — Schutzzweck</w:t>
      </w:r>
    </w:p>
    <w:p>
      <w:r>
        <w:rPr>
          <w:color w:val="555555"/>
          <w:sz w:val="18"/>
        </w:rPr>
        <w:t xml:space="preserve">Verordnung über das Naturschutzgebiet „Platkowsee“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das eine eiszeitlich geprägte Landschaft mit Klarwasserseen, Mooren und groß-flächigen, störungsarmen Wäldern mit eingelagerten, von Bächen und Gräben durchzogenen Feuchtbiotopen umfasst, ist</w:t>
      </w:r>
    </w:p>
    <w:p>
      <w:r>
        <w:t xml:space="preserve">die Erhaltung und Entwicklung als Lebensraum wild lebender Pflanzengesellschaften, insbesondere der Moore, Quellfluren, Feuchtwiesen und -weiden mit typischen Wunderseggen- und Rispenseggen-Bultried, der Weidengebüsche, des Torfmoos-Birkenwaldes, des Kiefern-Birkenmoorwaldes sowie der Erlensümpfe;</w:t>
      </w:r>
    </w:p>
    <w:p>
      <w:r>
        <w:t xml:space="preserve">die Erhaltung und Entwicklung von Seen mit hoher Wasserqualität als Lebensraum der Unterwasserrasen aus Armleuchteralgengesellschaften, Tauchfluren mit gefährdeten Laichkräutern, Schwimmblattzonen, Röhrichten und Großseggenriedern;</w:t>
      </w:r>
    </w:p>
    <w:p>
      <w:r>
        <w:t xml:space="preserve">die Erhaltung und Entwicklung der Lebensräume wild lebender Pflanzenarten, darunter zahlreicher nach § 10 Abs. 2 Nr. 10 des Bundesnaturschutzgesetzes besonders geschützter Arten, beispielweise verschiedener Orchideenarten, Flachbärlapp (Diphasiastrum complanatum), Fieberklee (Menyanthes trifoliata) und Rundblättriger Sonnentau (Drosera rotundifolia);</w:t>
      </w:r>
    </w:p>
    <w:p>
      <w:r>
        <w:t xml:space="preserve">die Erhaltung und Entwicklung des Gebietes als Lebens- beziehungsweise Rückzugsraum und potenzielles Wiederausbreitungszentrum wild lebender Tierarten, insbesondere der Fledermäuse, Greifvögel und Libellen, darunter nach § 10 Abs. 2 Nr. 10 des Bundesnaturschutzgesetzes besonders geschützter Arten, beispielsweise Großer Abendsegler (Nyctalus noctula), Braunes Langohr (Plecotus auritus), Roter Milan (Milvus milvus), Gemeine Keiljungfer (Gomphus vulgatissimus), Gefleckte Smaragdlibelle (Somatochlora flavomaculata);</w:t>
      </w:r>
    </w:p>
    <w:p>
      <w:r>
        <w:t xml:space="preserve">die Erhaltung und Entwicklung vielfältiger, naturnaher Waldgesellschaften, zum Beispiel der Ulmen-Hangwälder, rotbuchen- und eichenreichen Laubwälder und Erlenbrüche;</w:t>
      </w:r>
    </w:p>
    <w:p>
      <w:r>
        <w:t xml:space="preserve">die Erhaltung und Entwicklung des Gebietes als wesentlichen Teil des überregionalen Biotopverbundes zwischen dem Lychener und Templiner Seengebiet.</w:t>
      </w:r>
    </w:p>
    <w:p>
      <w:r>
        <w:t xml:space="preserve">(2) Die Unterschutzstellung dient der Erhaltung und Entwicklung</w:t>
      </w:r>
    </w:p>
    <w:p>
      <w:r>
        <w:t xml:space="preserve">des Gebietes als Teil des Europäischen Vogelschutzgebietes „Uckermärkische Seenlandschaft“ nach der Richtlinie 79/409/EWG des Rates vom 2. April 1979 über die Erhaltung der wild lebenden Vogelarten (ABl. EG Nr. L 103 S. 1), zuletzt geändert durch die Richtlinie 97/49/EG vom 29. Juli 1997 (ABl. EG Nr. L 233 S. 9) – Vogelschutz-Richtlinie – in seiner Funktion</w:t>
      </w:r>
    </w:p>
    <w:p>
      <w:r>
        <w:t xml:space="preserve">als Lebensraum von Arten nach Anhang I der Vogelschutz-Richtlinie, beispielsweise Kranich (Grus grus), Fischadler (Pandion haliaetus), Mittelspecht (Dendrocopus medius), Eisvogel (Alcedo atthis) und Zwergschnäpper (Ficedula parva) einschließlich ihrer Brut- und Nahrungsbiotope,</w:t>
      </w:r>
    </w:p>
    <w:p>
      <w:r>
        <w:t xml:space="preserve">als Durchgangs-, Rast- und Überwinterungsgebiet für Zugvogelarten, beispielsweise Gänsesäger (Mergus merganser) und Mittelsäger (Mergus serrator);</w:t>
      </w:r>
    </w:p>
    <w:p>
      <w:r>
        <w:t xml:space="preserve">des Gebietes von gemeinschaftlicher Bedeutung „Platkowsee“ (§ 7 Absatz 1 Nummer 6 des Bundesnaturschutzgesetzes), das ehemals einen Teil des Gebietes von gemeinschaftlicher Bedeutung „Platkowsee-Netzowsee-Metzelthin“ umfasste, mit seinen Vorkommen von</w:t>
      </w:r>
    </w:p>
    <w:p>
      <w:r>
        <w:t xml:space="preserve">Oligo- bis mesotrophen kalkhaltigen Gewässern mit benthischer Vegetation aus Armleuchteralgen, Natürlichen eutrophen Seen mit einer Vegetation des Magnopotamions oder Hydrocharitions, Flüssen der planaren bis montanen Stufe mit Vegetation des Ranunculion fluitantis und des Callitricho-Batrachion, Übergangs- und Schwingrasenmooren, Hainsimsen-Buchenwald (Luzulo-Fagetum), Waldmeister-Buchenwald (Asperulo-Fagetum) als natürlichen Lebensraumtypen von gemeinschaftlichem Interesse im Sinne von § 7 Absatz 1 Nummer 4 des Bundesnaturschutzgesetzes,</w:t>
      </w:r>
    </w:p>
    <w:p>
      <w:r>
        <w:t xml:space="preserve">Kalkreichen Sümpfen mit Cladium mariscus und Arten des Caricion davallianae, Moorwäldern und Auenwäldern mit Alnus glutinosa und Fraxinus excelsior (Alno-Padion, Alnion incanae, Salicion albae) als prioritären natürlichen Lebensraumtypen im Sinne von § 7 Absatz 1 Nummer 5 des Bundesnaturschutzgesetzes,</w:t>
      </w:r>
    </w:p>
    <w:p>
      <w:r>
        <w:t xml:space="preserve">Biber (Castor fiber), Fischotter (Lutra lutra), Steinbeißer (Cobitis taenia), Großer Moosjungfer (Leucorrhinia pectoralis), Großem Feuerfalter (Lycaena dispar), Schmaler (Vertigo angustior) und Bauchiger Windelschnecke (Vertigo moulinsiana) als Arten von gemeinschaftlichem Interesse im Sinne von § 7 Absatz 2 Nummer 10 des Bundesnaturschutzgesetzes, einschließlich ihrer für Fortpflanzung, Ernährung, Wanderung und Überwinterung wichtigen Lebensräume.</w:t>
      </w:r>
    </w:p>
    <w:p>
      <w:r>
        <w:rPr>
          <w:color w:val="555555"/>
          <w:sz w:val="17"/>
        </w:rPr>
        <w:t xml:space="preserve">Zitiervorschlag: § 3 VO-NSG_PLATKOWSEE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https://recht.nulegal.eu/gesetze/VO-NSG_PLATKOWSEE/3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