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VO-NSG_PERLEBERGER_SCHIESSPLATZ (Brandenburg) — Zulässige Handlungen</w:t>
      </w:r>
    </w:p>
    <w:p>
      <w:r>
        <w:rPr>
          <w:color w:val="555555"/>
          <w:sz w:val="18"/>
        </w:rPr>
        <w:t xml:space="preserve">Verordnung über das Naturschutzgebiet „Perleberger Schießplatz“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Ausgenommen von den Verboten des § 4 bleiben folgende Handlungen:</w:t>
      </w:r>
    </w:p>
    <w:p>
      <w:r>
        <w:t xml:space="preserve">die den in § 1b Abs. 5 des Brandenburgischen Naturschutzgesetzes genannten Anforderungen entsprechende forstwirtschaftliche Bodennutzung außerhalb der Zone 1 auf den bisher rechtmäßig dafür genutzten Flächen mit der Maßgabe, dass</w:t>
      </w:r>
    </w:p>
    <w:p>
      <w:r>
        <w:t xml:space="preserve">eine Nutzung der in § 3 Abs. 2 Nr. 2 genannten Waldgesellschaften einzelstamm- bis horstweise durchgeführt wird; auf den übrigen Waldflächen sind Holzerntemaßnahmen, die den Holzvorrat auf einer zusammenhängenden Fläche auf weniger als 40 Prozent des üblichen Vorrats reduzieren, nur bis zu einer Größe von 0,5 Hektar zulässig,</w:t>
      </w:r>
    </w:p>
    <w:p>
      <w:r>
        <w:t xml:space="preserve">in die in § 3 Abs. 2 Nr. 2 genannten Waldgesellschaften nur gesellschaftstypische Arten unter Ausschluss eingebürgerter Arten eingebracht werden. Nebenbaumarten dürfen dabei nicht als Hauptbaumarten eingesetzt werden,</w:t>
      </w:r>
    </w:p>
    <w:p>
      <w:r>
        <w:t xml:space="preserve">auf den übrigen Waldflächen nur Arten der potenziell natürlichen Vegetation eingebracht werden dürfen, wobei nur heimische Baumarten unter Ausschluss eingebürgerter Arten zu verwenden sind,</w:t>
      </w:r>
    </w:p>
    <w:p>
      <w:r>
        <w:t xml:space="preserve">je Hektar mindestens fünf Stück stehendes Totholz mit mehr als 30 Zentimeter Durchmesser in 1,30 Meter Höhe über dem Stammfuß nicht gefällt werden; liegendes Totholz (ganze Bäume mit Durchmesser über 40 Zentimeter am stärksten Ende) verbleibt im Bestand,</w:t>
      </w:r>
    </w:p>
    <w:p>
      <w:r>
        <w:t xml:space="preserve">keine Horst- beziehungsweise Höhlenbäume entfernt werden,</w:t>
      </w:r>
    </w:p>
    <w:p>
      <w:r>
        <w:t xml:space="preserve">§ 4 Abs. 2 Nr. 15 und 21 gilt;</w:t>
      </w:r>
    </w:p>
    <w:p>
      <w:r>
        <w:t xml:space="preserve">für den Bereich der Jagd in der Zone 1:</w:t>
      </w:r>
    </w:p>
    <w:p>
      <w:r>
        <w:t xml:space="preserve">Maßnahmen der Bestandsregulierung von Schalenwild, wenn dies zur Abwendung von Wildschäden auf land- und forstwirtschaftlich genutzten Flächen notwendig ist mit der Maßgabe, dass die Bestandsregulierung</w:t>
      </w:r>
    </w:p>
    <w:p>
      <w:r>
        <w:t xml:space="preserve">aa) auf den in der Luftbildliegenschaftskarte nach § 2 Abs. 3 dargestellten Flächen des Teilbereiches A durch maximal fünf eintägige Jagden in der Zeit vom 15. September bis zum 31. Januar des Folgejahres erfolgt,</w:t>
      </w:r>
    </w:p>
    <w:p>
      <w:r>
        <w:t xml:space="preserve">bb) auf den in der Luftbildliegenschaftskarte nach § 2 Abs. 3 dargestellten Flächen des Teilbereiches B im Zeitraum vom 15. Juli bis zum 31. Januar des Folgejahres zulässig ist,</w:t>
      </w:r>
    </w:p>
    <w:p>
      <w:r>
        <w:t xml:space="preserve">das Aufstellen von Ansitzeinrichtungen mit Zustimmung der unteren Naturschutzbehörde. Die Zustimmung ist zu erteilen, wenn der Schutzzweck nicht beeinträchtigt wird;</w:t>
      </w:r>
    </w:p>
    <w:p>
      <w:r>
        <w:t xml:space="preserve">für den Bereich der Jagd außerhalb der Zone 1:</w:t>
      </w:r>
    </w:p>
    <w:p>
      <w:r>
        <w:t xml:space="preserve">die rechtmäßige Ausübung der Jagd,</w:t>
      </w:r>
    </w:p>
    <w:p>
      <w:r>
        <w:t xml:space="preserve">die Errichtung ortsunveränderlicher jagdlicher Einrichtungen zur Ansitzjagd mit Zustimmung der unteren Naturschutzbehörde. Die Zustimmung ist zu erteilen, wenn der Schutzzweck nicht beeinträchtigt wird.</w:t>
      </w:r>
    </w:p>
    <w:p>
      <w:r>
        <w:t xml:space="preserve">Transportable und mobile Ansitzeinrichtungen sind der unteren Naturschutzbehörde vor der Errichtung anzuzeigen. Die Naturschutzbehörde kann in begründeten Einzelfällen das Aufstellen verbieten, wenn es dem Schutzzweck entgegensteht. Die Entscheidung hierzu soll unverzüglich erfolgen,</w:t>
      </w:r>
    </w:p>
    <w:p>
      <w:r>
        <w:t xml:space="preserve">die Anlage von Kirrungen außerhalb der in § 3 Abs. 2 Nr. 2 genannten Lebensräume.</w:t>
      </w:r>
    </w:p>
    <w:p>
      <w:r>
        <w:t xml:space="preserve">Im Übrigen bleiben Wildfütterungen und die Anlage von Ansaatwiesen und Wildäckern unzulässig;</w:t>
      </w:r>
    </w:p>
    <w:p>
      <w:r>
        <w:t xml:space="preserve">das nichtgewerbliche Sammeln von Pilzen und Wildfrüchten außerhalb der Zone 1 nach dem 30. Juni eines jeden Jahres;</w:t>
      </w:r>
    </w:p>
    <w:p>
      <w:r>
        <w:t xml:space="preserve">die im Sinne des § 10 des Brandenburgischen Straßengesetzes ordnungsgemäße Unterhaltung der dem öffentlichen Verkehr gewidmeten Straßen und Wege, sowie die ordnungsgemäße Unterhaltung sonstiger rechtmäßig bestehender Anlagen jeweils im Einvernehmen mit der unteren Naturschutzbehörde;</w:t>
      </w:r>
    </w:p>
    <w:p>
      <w:r>
        <w:t xml:space="preserve">die im Sinne des § 28 des Wasserhaushaltsgesetzes und des § 78 des Brandenburgischen Wassergesetzes ordnungsgemäße Unterhaltung der Gewässer, die den in § 3 aufgeführten Schutzgütern nicht entgegensteht;</w:t>
      </w:r>
    </w:p>
    <w:p>
      <w:r>
        <w:t xml:space="preserve">der Betrieb von Anlagen für die öffentliche Wasserversorgung, von Abwasseranlagen, von Messanlagen (Pegel-, Abfluss- und andere Messstellen) und sonstiger wasserwirtschaftlicher Anlagen in der bisherigen Art und im bisherigen Umfang. Die ordnungsgemäße Unterhaltung dieser Anlagen bleibt im Einvernehmen mit der unteren Naturschutzbehörde zulässig; das Einvernehmen kann durch Abstimmung eines Unterhaltungsplans hergestellt werden;</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zuständigen Naturschutzbehörde außerhalb der Zone 1 oder nach § 6 Abs. 1 Nr. 1 und 2 als biotopeinrichtende Maßnahmen innerhalb von zehn Jahren nach Inkrafttreten der Verordnung in der Zone 1 zugelassen oder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soweit dies zur Ausübung der nach Absatz 1 zulässigen Handlungen erforderlich ist. Das Gestattungserfordernis nach § 16 Abs. 2 des Waldgesetzes des Landes Brandenburg bleibt unberührt.</w:t>
      </w:r>
    </w:p>
    <w:p>
      <w:r>
        <w:rPr>
          <w:color w:val="555555"/>
          <w:sz w:val="17"/>
        </w:rPr>
        <w:t xml:space="preserve">Zitiervorschlag: § 5 VO-NSG_PERLEBERGER_SCHIESSPLATZ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https://recht.nulegal.eu/gesetze/VO-NSG_PERLEBERGER_SCHIESSPLATZ/5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