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VO-NSG_OSTUFER_STOSSDORFER_SEE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„Ostufer Stoßdorfer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im Rahmen der forstwirtschaftlichen Nutzung sollen nur heimische Baumarten unter Ausschluss eingebürgerter Arten verwendet werden;</w:t>
      </w:r>
    </w:p>
    <w:p>
      <w:r>
        <w:t xml:space="preserve">offene Bereiche wie Heiden, Trockenrasen und Halbtrockenrasen sollen durch Schafbeweidung erhalten und entwickelt werden.</w:t>
      </w:r>
    </w:p>
    <w:p>
      <w:r>
        <w:rPr>
          <w:color w:val="555555"/>
          <w:sz w:val="17"/>
        </w:rPr>
        <w:t xml:space="preserve">Zitiervorschlag: § 6 VO-NSG_OSTUFER_STOSSDORFER_SEE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https://recht.nulegal.eu/gesetze/VO-NSG_OSTUFER_STOSSDORFER_SEE/6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