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VO-NSG_OSTUFER_STOSSDORFER_SEE (Brandenburg) — Zulässige Handlungen</w:t>
      </w:r>
    </w:p>
    <w:p>
      <w:r>
        <w:rPr>
          <w:color w:val="555555"/>
          <w:sz w:val="18"/>
        </w:rPr>
        <w:t xml:space="preserve">Verordnung über das Naturschutzgebiet „Ostufer Stoßdorfer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w:t>
      </w:r>
    </w:p>
    <w:p>
      <w:r>
        <w:t xml:space="preserve">die im Sinne des § 11 Abs. 3 des Brandenburgischen Naturschutzgesetzes ordnungsgemäße forstwirtschaftliche Bodennutzung auf den bisher rechtmäßig dafür genutzten Flächen;</w:t>
      </w:r>
    </w:p>
    <w:p>
      <w:r>
        <w:t xml:space="preserve">für den Bereich der Jagd:</w:t>
      </w:r>
    </w:p>
    <w:p>
      <w:r>
        <w:t xml:space="preserve">die rechtmäßige Ausübung der Jagd mit der Maßgabe, dass die Jagd auf Wasservögel verboten ist,</w:t>
      </w:r>
    </w:p>
    <w:p>
      <w:r>
        <w:t xml:space="preserve">die Errichtung ortsunveränderlicher jagdlicher Einrichtungen zur Ansitzjagd mit Zustimmung der unteren Naturschutzbehörde. Die Zustimmung ist zu erteilen, wenn der Schutzzweck nicht beeinträchtigt wird. Die Aufstellung transportabler und mobiler Ansitzeinrichtungen bleibt zulässig,</w:t>
      </w:r>
    </w:p>
    <w:p>
      <w:r>
        <w:t xml:space="preserve">die Anlage von Kirrungen außerhalb gesetzlich geschützter Biotope.</w:t>
      </w:r>
    </w:p>
    <w:p>
      <w:r>
        <w:t xml:space="preserve">Im Übrigen ist die Anlage von Wildäckern und Ansaatwiesen unzulässig;</w:t>
      </w:r>
    </w:p>
    <w:p>
      <w:r>
        <w:t xml:space="preserve">erforderliche Hegemaßnahmen gemäß § 1 der Brandenburgischen Fischereiordnung im Sinne eines Monitorings mit Genehmigung der unteren Naturschutzbehörde;</w:t>
      </w:r>
    </w:p>
    <w:p>
      <w:r>
        <w:t xml:space="preserve">die im Sinne des § 10 des Brandenburgischen Straßengesetzes ordnungsgemäße Unterhaltung der dem öffentlichen Verkehr gewidmeten Straßen und Wege, die im Sinne der §§ 28 des Wasserhaushaltsgesetzes und 78 des Brandenburgischen Wassergesetzes ordnungsgemäße Unterhaltung der Gewässer sowie die ordnungsgemäße Unterhaltung sonstiger rechtmäßig bestehender Anlagen jeweils im Einvernehmen mit der unteren Naturschutzbehörde;</w:t>
      </w:r>
    </w:p>
    <w:p>
      <w:r>
        <w:t xml:space="preserve">Maßnahmen im Rahmen der bergbaulichen und wasserbaulichen Sanierung gemäß den Festlegungen im Sanierungsplan Schlabendorfer Felder vom 18. Februar 1994 beziehungsweise der Abschluss- und Sonderbetriebspläne durch das Landesbergamt im Einvernehmen mit der zuständigen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Altlastenverdachtsflächen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Der Genehmigungsvorbehalt nach § 19 Abs. 3 Satz 2 des Landeswaldgesetzes bleibt unberührt.</w:t>
      </w:r>
    </w:p>
    <w:p>
      <w:r>
        <w:rPr>
          <w:color w:val="555555"/>
          <w:sz w:val="17"/>
        </w:rPr>
        <w:t xml:space="preserve">Zitiervorschlag: § 5 VO-NSG_OSTUFER_STOSSDORFER_SEE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https://recht.nulegal.eu/gesetze/VO-NSG_OSTUFER_STOSSDORFER_SEE/5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