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VO-NSG_OSTUFER_STOSSDORFER_SEE (Brandenburg) — In-Kraft-Treten</w:t>
      </w:r>
    </w:p>
    <w:p>
      <w:r>
        <w:rPr>
          <w:color w:val="555555"/>
          <w:sz w:val="18"/>
        </w:rPr>
        <w:t xml:space="preserve">Verordnung über das Naturschutzgebiet „Ostufer Stoßdorfer 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12. November 2003</w:t>
      </w:r>
    </w:p>
    <w:p>
      <w:r>
        <w:rPr>
          <w:color w:val="555555"/>
          <w:sz w:val="17"/>
        </w:rPr>
        <w:t xml:space="preserve">Zitiervorschlag: § 11 VO-NSG_OSTUFER_STOSSDORFER_SEE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https://recht.nulegal.eu/gesetze/VO-NSG_OSTUFER_STOSSDORFER_SEE/11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