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VO-NSG_OBERHEIDE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„Oberheide“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Waldwiese im Süden des Gebietes soll durch Maßnahmen der Landschaftspflege freigehalten werden;</w:t>
      </w:r>
    </w:p>
    <w:p>
      <w:r>
        <w:t xml:space="preserve">die mit gebietsfremden Gehölzarten (Kulturpappel, Douglasie, Fichte, Grau-Erle, Rot-Eiche) bestockten Waldflächen sollen sukzessive zu standortgemäßen Waldtypen mit einer der potenziell natürlichen Vegetation entsprechenden Gehölzartenkombination umgewandelt werden;</w:t>
      </w:r>
    </w:p>
    <w:p>
      <w:r>
        <w:t xml:space="preserve">innerhalb der in § 3 Abs. 2 Nr. 1 und 2 genannten Waldgesellschaften sollen Altholzinseln entwickelt werden.</w:t>
      </w:r>
    </w:p>
    <w:p>
      <w:r>
        <w:rPr>
          <w:color w:val="555555"/>
          <w:sz w:val="17"/>
        </w:rPr>
        <w:t xml:space="preserve">Zitiervorschlag: § 6 VO-NSG_OBERHEIDE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https://recht.nulegal.eu/gesetze/VO-NSG_OBERHEIDE/6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VO-NSG_OBERHEIDE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