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VO-NSG_NETZOWSEE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„Netzowsee-Metzelthiner Feldmark“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 und Entwicklungsmaßnahmen und zur Verwirklichung des Schutzzwecks erforderlich sind, richtet sich nach § 65 des Bundesnaturschutzgesetzes in Verbindung mit § 25 des Brandenburgischen Naturschutzausführungsgesetzes.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weitergehenden Vorschriften enthält, bleiben die Regelungen über gesetzlich geschützte Teile von Natur und Landschaft (§§ 17 und 18 des Brandenburgischen Naturschutzausführungsgesetzes in Verbindung mit § 29 Absatz 3 und § 30 des Bundesnaturschutzgesetzes), über das Netz „Natura 2000“ (§§ 33 und 34 des Bundesnaturschutzgesetzes) und über den Schutz und die Pflege wild lebender Tier- und Pflanzenarten, ihrer Lebensstätten und Biotope (§§ 37 bis 47 des Bundesnaturschutzgesetzes) sowie über Horststandorte (§ 19 des Brandenburgischen Naturschutzausführungsgesetzes in Verbindung mit § 54 Absatz 7 des Bundesnaturschutzgesetzes) unberührt.</w:t>
      </w:r>
    </w:p>
    <w:p>
      <w:r>
        <w:rPr>
          <w:color w:val="555555"/>
          <w:sz w:val="17"/>
        </w:rPr>
        <w:t xml:space="preserve">Zitiervorschlag: § 9 VO-NSG_NETZOWSEE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https://recht.nulegal.eu/gesetze/VO-NSG_NETZOWSEE/9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