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VO-NSG_NETZOWSEE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„Netzowsee-Metzelthiner Feldmark“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Pflege-, Entwicklungs- und Wiederherstellungsmaßnahmen werden als Zielvorgabe benannt:</w:t>
      </w:r>
    </w:p>
    <w:p>
      <w:r>
        <w:t xml:space="preserve">das Ackerland südlich und südwestlich von Knehden und südlich des Steißsees soll langfristig in extensiv genutztes Grünland umgewandelt oder zu Wald entwickelt werden;</w:t>
      </w:r>
    </w:p>
    <w:p>
      <w:r>
        <w:t xml:space="preserve">für den Bereich des Kleinen Griebchensees soll, insbesondere durch die Verfüllung des Entwässerungsgrabens, das hydrologische Binneneinzugsgebiet wiederhergestellt werden;</w:t>
      </w:r>
    </w:p>
    <w:p>
      <w:r>
        <w:t xml:space="preserve">die Wiederherstellung naturnaher Standortbedingungen für einen wachsenden Moorkörper im Moosbruch und in den Feuchtwiesen nördlich und nordwestlich von Netzow wird angestrebt;</w:t>
      </w:r>
    </w:p>
    <w:p>
      <w:r>
        <w:t xml:space="preserve">das Knehdenmoor soll regelmäßig gemäht werden;</w:t>
      </w:r>
    </w:p>
    <w:p>
      <w:r>
        <w:t xml:space="preserve">aus dem Netzowsee sollen nicht heimische Fischarten entnommen werden;</w:t>
      </w:r>
    </w:p>
    <w:p>
      <w:r>
        <w:t xml:space="preserve">die Umwandlung von Nadelholzforsten sowie nicht standortgerechter Laubwälder in naturnahe Laubwaldbestände wird angestrebt;</w:t>
      </w:r>
    </w:p>
    <w:p>
      <w:r>
        <w:t xml:space="preserve">zum Schutz vor der Zurückdrängung indigener Pflanzen sollen zum Beispiel Maßnahmen zur Bekämpfung der Spätblühenden Traubenkirsche eingeleitet werden.</w:t>
      </w:r>
    </w:p>
    <w:p>
      <w:r>
        <w:rPr>
          <w:color w:val="555555"/>
          <w:sz w:val="17"/>
        </w:rPr>
        <w:t xml:space="preserve">Zitiervorschlag: § 6 VO-NSG_NETZOWSEE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https://recht.nulegal.eu/gesetze/VO-NSG_NETZOWSEE/6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