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VO-NSG_NETZOWSEE (Brandenburg) — Schutzgegenstand</w:t>
      </w:r>
    </w:p>
    <w:p>
      <w:r>
        <w:rPr>
          <w:color w:val="555555"/>
          <w:sz w:val="18"/>
        </w:rPr>
        <w:t xml:space="preserve">Verordnung über das Naturschutzgebiet „Netzowsee-Metzelthiner Feldmark“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1 262 Hektar. Es umfasst sechs Teilflächen in folgenden Fluren:</w:t>
      </w:r>
    </w:p>
    <w:p>
      <w:r>
        <w:t xml:space="preserve">Stadt:</w:t>
      </w:r>
    </w:p>
    <w:p>
      <w:r>
        <w:t xml:space="preserve">Gemarkung:</w:t>
      </w:r>
    </w:p>
    <w:p>
      <w:r>
        <w:t xml:space="preserve">Flur:</w:t>
      </w:r>
    </w:p>
    <w:p>
      <w:r>
        <w:t xml:space="preserve">Templin</w:t>
      </w:r>
    </w:p>
    <w:p>
      <w:r>
        <w:t xml:space="preserve">Densow</w:t>
      </w:r>
    </w:p>
    <w:p>
      <w:r>
        <w:t xml:space="preserve">2, 3;</w:t>
      </w:r>
    </w:p>
    <w:p>
      <w:r>
        <w:t xml:space="preserve">Gandenitz</w:t>
      </w:r>
    </w:p>
    <w:p>
      <w:r>
        <w:t xml:space="preserve">1 bis 5;</w:t>
      </w:r>
    </w:p>
    <w:p>
      <w:r>
        <w:t xml:space="preserve">Klosterwalde</w:t>
      </w:r>
    </w:p>
    <w:p>
      <w:r>
        <w:t xml:space="preserve">4;</w:t>
      </w:r>
    </w:p>
    <w:p>
      <w:r>
        <w:t xml:space="preserve">Metzelthin</w:t>
      </w:r>
    </w:p>
    <w:p>
      <w:r>
        <w:t xml:space="preserve">2, 3, 5, 7 bis 9;</w:t>
      </w:r>
    </w:p>
    <w:p>
      <w:r>
        <w:t xml:space="preserve">Templin</w:t>
      </w:r>
    </w:p>
    <w:p>
      <w:r>
        <w:t xml:space="preserve">1, 6 bis 10, 16, 20;</w:t>
      </w:r>
    </w:p>
    <w:p>
      <w:r>
        <w:t xml:space="preserve">Netzow</w:t>
      </w:r>
    </w:p>
    <w:p>
      <w:r>
        <w:t xml:space="preserve">1 bis 4.</w:t>
      </w:r>
    </w:p>
    <w:p>
      <w:r>
        <w:t xml:space="preserve">Eine Kartenskizze zur Orientierung über die Lage des Naturschutzgebietes ist dieser Verordnung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 Übersichtskarte im Maßstab 1 : 30 000 dient der räumlichen Einordnung des Naturschutzgebietes. Die in Anlage 2 Nummer 2 aufgeführten topografischen Karten im Maßstab 1 : 10 000 mit den Blattnummern 1 bis 5 ermöglichen die Verortung im Gelände. Maßgeblich für den Grenzverlauf ist die Einzeichnung in den in Anlage 2 Nummer 3 mit den Blattnummern 1 bis 29 aufgeführten Liegenschaftskarten. Zur Orientierung über die betroffenen Grundstücke wird eine Flurstücksliste gemäß Absatz 4 hinterlegt.</w:t>
      </w:r>
    </w:p>
    <w:p>
      <w:r>
        <w:t xml:space="preserve">(3) Innerhalb des Naturschutzgebietes werden die Zonen 1 und 2 mit unterschiedlichen Beschränkungen der landwirtschaftlichen Nutzung festgelegt. Die Grenzen der Zonen sind in den in Anlage 2 Nummer 2 genannten topografischen Karten sowie in den in Anlage 2 Nummer 3 genannten Liegenschaftskarten mit ununterbrochener roter Linie eingezeichnet. Als Grenze gilt der innere Rand dieser Linie. Maßgeblich für den Grenzverlauf ist die Einzeichnung in den Liegenschaftskarten.</w:t>
      </w:r>
    </w:p>
    <w:p>
      <w:r>
        <w:t xml:space="preserve">(4) Die Verordnung mit Karten und Flurstücksliste kann bei dem für Naturschutz und Landschaftspflege zuständigen Fachministerium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VO-NSG_NETZOWSEE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https://recht.nulegal.eu/gesetze/VO-NSG_NETZOWSEE/2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