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 VO-NSG_LIETZENER_MUEHLENTAL (Brandenburg) — Ordnungswidrigkeiten</w:t>
      </w:r>
    </w:p>
    <w:p>
      <w:r>
        <w:rPr>
          <w:color w:val="555555"/>
          <w:sz w:val="18"/>
        </w:rPr>
        <w:t xml:space="preserve">Verordnung über das Naturschutzgebiet „Lietzener Mühlental“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23.08.2026 (konsolidierte Textfassung, kein amtliches Inkrafttretensdatum)</w:t>
      </w:r>
    </w:p>
    <w:p>
      <w:r>
        <w:t xml:space="preserve">(1) Ordnungswidrig im Sinne des § 39 Absatz 2 Nummer 2 des Brandenburgischen Naturschutzausführungsgesetzes handelt, wer vorsätzlich oder fahrlässig den Verboten des § 4 oder den Maßgaben des § 5 zuwiderhandelt.</w:t>
      </w:r>
    </w:p>
    <w:p>
      <w:r>
        <w:t xml:space="preserve">(2) Ordnungswidrigkeiten nach Absatz 1 können gemäß § 40 des Brandenburgischen Naturschutzausführungsgesetzes mit einer Geldbuße bis zu fünfundsechzigtausend Euro geahndet werden.</w:t>
      </w:r>
    </w:p>
    <w:p>
      <w:r>
        <w:rPr>
          <w:color w:val="555555"/>
          <w:sz w:val="17"/>
        </w:rPr>
        <w:t xml:space="preserve">Zitiervorschlag: § 8 VO-NSG_LIETZENER_MUEHLENTAL (Brandenburg)</w:t>
      </w:r>
    </w:p>
    <w:p>
      <w:r>
        <w:rPr>
          <w:color w:val="555555"/>
          <w:sz w:val="17"/>
        </w:rPr>
        <w:t xml:space="preserve">Quelle: bravors, abgerufen 23.08.2026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https://recht.nulegal.eu/gesetze/VO-NSG_LIETZENER_MUEHLENTAL/8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 VO-NSG_LIETZENER_MUEHLENTAL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