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VO-NSG_LEITSAKGRABEN (Brandenburg) — Zulässige Handlungen</w:t>
      </w:r>
    </w:p>
    <w:p>
      <w:r>
        <w:rPr>
          <w:color w:val="555555"/>
          <w:sz w:val="18"/>
        </w:rPr>
        <w:t xml:space="preserve">Verordnung über das Naturschutzgebiet „Leitsakgraben“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und in § 2 des Brandenburgischen Naturschutzausführungsgesetzes genannten Grundsätzen der guten fachlichen Praxis entsprechende landwirtschaftliche Bodennutzung auf den bisher rechtmäßig dafür genutzten Flächen mit der Maßgabe, dass</w:t>
      </w:r>
    </w:p>
    <w:p>
      <w:r>
        <w:t xml:space="preserve">auf Grünland § 4 Absatz 2 Nummer 21 und 22 gilt, wobei bei Narbenschäden eine umbruchlose Nachsaat mit standortangepassten Grasarten zulässig bleibt,</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 Großvieheinheiten (RGV) entspricht, ohne chemisch-synthetische Stickstoffdüngemittel, Gülle, Jauche, flüssige Gärreste und Sekundärrohstoffdünger einzusetzen.</w:t>
      </w:r>
    </w:p>
    <w:p>
      <w:r>
        <w:t xml:space="preserve">Sekundärrohstoffdünger im Sinne dieser Verordnung sind Abwasser, Fäkalien, Klärschlamm und ähnliche Stoffe aus Siedlungsabfällen und vergleichbare Stoffe aus anderen Quellen, jeweils auch weiterbehandelt und in Mischungen untereinander oder mit Düngemitteln, Wirtschaftsdünger, Bodenhilfsstoffen, Kultursubstraten und Pflanzenhilfsmitteln,</w:t>
      </w:r>
    </w:p>
    <w:p>
      <w:r>
        <w:t xml:space="preserve">Grünland der Zone 1 als Wiese genutzt wird und § 4 Absatz 2 Nummer 15 gilt;</w:t>
      </w:r>
    </w:p>
    <w:p>
      <w:r>
        <w:t xml:space="preserve">die dem in § 5 Absatz 3 des Bundesnaturschutzgesetzes genannten Ziel entsprechende forstwirtschaftliche Bodennutzung auf den bisher rechtmäßig dafür genutzten Flächen mit der Maßgabe, dass</w:t>
      </w:r>
    </w:p>
    <w:p>
      <w:r>
        <w:t xml:space="preserve">nur Arten der jeweils potenziell natürlichen Vegetation eingebracht werden dürfen, wobei nur heimische Gehölzarten in gesellschaftstypischer Zusammensetzung unter Ausschluss eingebürgerter Arten zu verwenden sind; von der gesellschaftstypischen Artenzusammensetzung kann nach Kalamitätsausfällen, wie zum Beispiel durch das Eschentriebsterben, mit Zustimmung der unteren Naturschutzbehörde abgewichen werden,</w:t>
      </w:r>
    </w:p>
    <w:p>
      <w:r>
        <w:t xml:space="preserve">in gesetzlich geschützten Biotopen und in den in § 3 Absatz 2 Nummer 1 und 2 aufgeführten Waldlebensraumtypen eine Nutzung nur einzelstamm- bis gruppenweise erfolgt sowie außerhalb der genannten Biotope und Lebensraumtypen Holzerntemaßnahmen die den Holzvorrat auf weniger als 40 von 100 des üblichen Vorrats reduzieren nur bis zu einer Größe von 0,5 Hektar zulässig sind,</w:t>
      </w:r>
    </w:p>
    <w:p>
      <w:r>
        <w:t xml:space="preserve">hydromorphe Böden sowie Böden mit einem hohen Anteil an feinkörnigem Substrat nur bei ausreichender Tragfähigkeit auf dauerhaft festgelegten Rückegassen befahren werden,</w:t>
      </w:r>
    </w:p>
    <w:p>
      <w:r>
        <w:t xml:space="preserve">in gesetzlich geschützten Biotopen und in den in § 3 Absatz 2 Nummer 1 und 2 aufgeführten Waldlebensraumtypen Pflügen und Umbruch des Bodens unzulässig sind; ausgenommen ist eine streifenweise, flachgründige, nicht in den Mineralboden eingreifende Bodenverwundung zur Unterstützung von Verjüngungsmaßnahmen,</w:t>
      </w:r>
    </w:p>
    <w:p>
      <w:r>
        <w:t xml:space="preserve">Bäume mit Horsten oder Höhlen nicht gefällt werden; ausgenommen davon sind vom Eschentriebsterben befallene Bäume,</w:t>
      </w:r>
    </w:p>
    <w:p>
      <w:r>
        <w:t xml:space="preserve">mindestens fünf dauerhafte markierte Stämme von lebensraumtypischen Arten je Hektar mit einem Brusthöhendurchmesser von 30 Zentimetern in 1,30 Meter Höhe über dem Stammfuß bis zum Absterben aus der Nutzung genommen sein müssen,</w:t>
      </w:r>
    </w:p>
    <w:p>
      <w:r>
        <w:t xml:space="preserve">je Hektar mindestens fünf Stück stehendes Totholz mit mehr als 30 Zentimeter Brusthöhendurchmesser in 1,30 Meter Höhe über dem Stammfuß nicht gefällt werden; liegendes Totholz (ganze Bäume mit Durchmesser über 65 Zentimetern am stärkeren Ende) verbleibt im Bestand,</w:t>
      </w:r>
    </w:p>
    <w:p>
      <w:r>
        <w:t xml:space="preserve">in den in § 3 Absatz 2 Nummer 1 und 2 aufgeführten Waldlebensräumen lebensraumtypische Gehölzarten in der Reifephase mit einer Deckung von 25 Prozent zu erhalten oder, sofern nicht vorhanden, zu entwickeln sind,</w:t>
      </w:r>
    </w:p>
    <w:p>
      <w:r>
        <w:t xml:space="preserve">§ 4 Absatz 2 Nummer 15 und 21 gilt,</w:t>
      </w:r>
    </w:p>
    <w:p>
      <w:r>
        <w:t xml:space="preserve">bei forstwirtschaftlichen Maßnahmen auf dem Flurstück 173 in der Gemarkung Nauen, Flur 5, der Orchideenbestand von Vogel-Nestwurz nicht beeinträchtigt wird;</w:t>
      </w:r>
    </w:p>
    <w:p>
      <w:r>
        <w:t xml:space="preserve">für den Bereich der Jagd:</w:t>
      </w:r>
    </w:p>
    <w:p>
      <w:r>
        <w:t xml:space="preserve">die rechtmäßige Ausübung der Jagd mit der Maßgabe, dass aa)</w:t>
      </w:r>
    </w:p>
    <w:p>
      <w:r>
        <w:t xml:space="preserve">die Fallenjagd nur mit Lebendfallen erfolgt und in einem Abstand von bis zu 100 Metern zu Gewässerufern verboten ist. Von der Einhaltung dieses Abstandes kann die untere Naturschutzbehörde Ausnahmen erteilen, wenn der Schutzzweck nicht beeinträchtigt wird,</w:t>
      </w:r>
    </w:p>
    <w:p>
      <w:r>
        <w:t xml:space="preserve">bb)</w:t>
      </w:r>
    </w:p>
    <w:p>
      <w:r>
        <w:t xml:space="preserve">keine Baujagd in einem Abstand von bis zu 100 Metern zu Gewässerufern vorgenommen wird,</w:t>
      </w:r>
    </w:p>
    <w:p>
      <w:r>
        <w:t xml:space="preserve">die Errichtung ortsunveränderlicher jagdlicher Einrichtungen außerhalb gesetzlich geschützter Biotope und der in § 3 Absatz 2 Nummer 1 genannten Flachlandmähwiesen nach der Anzeige bei der unteren Naturschutzbehörde. Die Naturschutzbehörde kann in begründeten Einzelfällen das Aufstellen verbieten, wenn es dem Schutzzweck entgegensteht,</w:t>
      </w:r>
    </w:p>
    <w:p>
      <w:r>
        <w:t xml:space="preserve">das Aufstellen von transportablen und mobilen Ansitzeinrichtungen,</w:t>
      </w:r>
    </w:p>
    <w:p>
      <w:r>
        <w:t xml:space="preserve">die Anlage und Unterhaltung von Ansaatwildwiesen und Wildäckern außerhalb gesetzlich geschützter Biotope und der in § 3 Absatz 2 Nummer 1 genannten Flachlandmähwiesen mit Genehmigung der unteren Naturschutzbehörde.</w:t>
      </w:r>
    </w:p>
    <w:p>
      <w:r>
        <w:t xml:space="preserve">Die Anlage von Kirrungen innerhalb gesetzlich geschützter Biotope und der in § 3 Absatz 2 Nummer 1 genannten Flachlandmähwiesen sowie Ablenkfütterungen sind unzulässig. Im Übrigen bleiben jagdrechtliche Regelungen nach § 41 des Jagdgesetzes für das Land Brandenburg unberührt;</w:t>
      </w:r>
    </w:p>
    <w:p>
      <w:r>
        <w:t xml:space="preserve">Hegemaßnahmen gemäß § 1 der Fischereiordnung des Landes Brandenburg im Sinne einer Fischbestandskontrolle, -regulierung und -förderung mit Zustimmung der unteren Naturschutzbehörde. Die Zustimmung ist zu erteilen, wenn der Schutzzweck nicht beeinträchtigt wird;</w:t>
      </w:r>
    </w:p>
    <w:p>
      <w:r>
        <w:t xml:space="preserve">die im Sinne des § 10 des Brandenburgischen Straßengesetzes ordnungsgemäße Unterhaltung der dem öffentlichen Verkehr gewidmeten Straßen und Wege. Die untere Naturschutzbehörde ist rechtzeitig mit dem Ziel einer einvernehmlichen Lösung zu beteiligen;</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 Abwasseranlagen, Messanlagen (Pegel-, Abfluss- und andere Messstellen) und sonstigen wasserwirtschaftlichen Anlagen (in der bisherigen Art und im bisherigen Umfang). Die Unterhaltung dieser Anlagen bleibt im Einvernehmen mit der unteren Naturschutzbehörde zulässig; das Einvernehmen über regelmäßig wiederkehrende Unterhaltungsarbeiten kann durch langfristig gültige Vereinbarungen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die ordnungsgemäße Unterhaltung sonstiger rechtmäßig bestehender Anlagen und privater Wege, sofern diese nicht unter die Nummern 6 und 7 fallen, im Einvernehmen mit der unteren Naturschutzbehörde;</w:t>
      </w:r>
    </w:p>
    <w:p>
      <w:r>
        <w:t xml:space="preserve">das Sammeln von Pilzen und Wildfrüchten in geringen Mengen für den persönlichen Gebrauch zwischen dem 1. Juli eines Jahres und dem 28. Februar des Folgejahres;</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Entwicklungs- und Wiederherstellungsmaßnahmen, die von der zuständigen Naturschutzbehörde zugelassen oder angeordnet worden sind;</w:t>
      </w:r>
    </w:p>
    <w:p>
      <w:r>
        <w:t xml:space="preserve">die Durchführung von Natur- und Umweltbildungsveranstaltungen mit Zustimmung der unteren Naturschutzbehörde;</w:t>
      </w:r>
    </w:p>
    <w:p>
      <w:r>
        <w:t xml:space="preserve">behördliche sowie behördlich angeordnete oder zugelassene Beschilderungen, soweit sie auf den Schutzzweck des Gebietes hinweisen oder als hoheitliche Kennzeichnungen, Orts- oder Verkehrshinweise, Wegemarkierungen, touristische Informationen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t xml:space="preserve">(3) Die in Absatz 1 genannten zulässigen Handlungen bleiben von Zulassungserfordernissen, die sich aus anderen Vorgaben ergeben, unberührt.</w:t>
      </w:r>
    </w:p>
    <w:p>
      <w:r>
        <w:t xml:space="preserve">Einzelnorm</w:t>
      </w:r>
    </w:p>
    <w:p>
      <w:r>
        <w:rPr>
          <w:color w:val="555555"/>
          <w:sz w:val="17"/>
        </w:rPr>
        <w:t xml:space="preserve">Zitiervorschlag: § 5 VO-NSG_LEITSAKGRABEN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https://recht.nulegal.eu/gesetze/VO-NSG_LEITSAKGRABEN/5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