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VO-NSG_KUESTRINCHEN (Brandenburg) — Schutzzweck</w:t>
      </w:r>
    </w:p>
    <w:p>
      <w:r>
        <w:rPr>
          <w:color w:val="555555"/>
          <w:sz w:val="18"/>
        </w:rPr>
        <w:t xml:space="preserve">Verordnung über das Naturschutzgebiet „Küstrinchen“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ist</w:t>
      </w:r>
    </w:p>
    <w:p>
      <w:r>
        <w:t xml:space="preserve">die Erhaltung, Wiederherstellung und Entwicklung der Lebensstätten wild lebender Pflanzengesellschaften, insbesondere der naturnahen Wälder, wie zum Beispiel der Buchen-, Eichen-Hainbuchen- und Birken-Moor- sowie Erlenbruchwälder, Moorgehölze sowie der Grundrasen- und Tauchflurengesellschaften nährstoffarmer Seen, der Schwimmblattvegetation und der Braunmoos-, Torfmoos-, Seggen- und Röhrichtmoore, Quellmoore;</w:t>
      </w:r>
    </w:p>
    <w:p>
      <w:r>
        <w:t xml:space="preserve">die Erhaltung und Entwicklung der Lebensstätten wild lebender Pflanzenarten, darunter im Sinne von § 7 Absatz 2 Nummer 13 des Bundesnaturschutzgesetzes besonders geschützte Arten, insbesondere Breitblättriges Knabenkraut (Dactylorhiza majalis), Sumpfsitter (Epipactis palustris), Zungen-Hahnenfuß (Ranunculus lingua), Sumpfporst (Ledum palustre), Fieberklee (Menyanthes trifoliata), Moosglöckchen (Linnaea borealis) Sandstrohblume (Helichrysum arenarium), Krebsschere (Stratiotes aloides), Sumpfherzblatt (Parnassia palustris), Gelbgrüner Frauenmantel (Alchemilla xanthochlora), Quellgras (Catabrosa aquatica), Vielstenglige Sumpf-simse (Eleocharis multicaulis), Sumpfläusekraut (Pedicularis palustris), Gestrecktes Laichkraut (Potamogeton praelongus), Blasenbinse (Scheuchzeria palustris), Acker-Ziest (Stachys arvensis) sowie die Armleuchteralgen (Chara aspera, Chara filiformis, Chara rudis);</w:t>
      </w:r>
    </w:p>
    <w:p>
      <w:r>
        <w:t xml:space="preserve">die Erhaltung und Entwicklung des Gebietes als Lebens- und Rückzugsraum sowie potenzielles Wiederausbreitungszentrum wild lebender Tierarten, darunter im Sinne von § 7 Absatz 2 Nummer 13 und 14 des Bundesnaturschutzgesetzes besonders geschützte Arten, insbesondere Biber (Castor fiber), Fransenfledermaus (Myotis nattereri), Wasserspitzmaus (Neomys fodiens), Ringelnatter (Natrix natrix), Laubfrosch (Hyla arborea), Großer Schillerfalter (Apatura iris), Blauflügel-Prachtlibelle (Calopteryx virgo), Östliche Moosjungfer (Leucorrhinia albifrons), Zierliche Moosjungfer (Leucorrhinia caudalis) und Grüne Mosaikjungfer (Aeshna viridis);</w:t>
      </w:r>
    </w:p>
    <w:p>
      <w:r>
        <w:t xml:space="preserve">die Erhaltung der besonderen Eigenart und hervorragenden Schönheit eines unzerschnittenen, störungsarmen Gebietes mit ausgedehnten Sanderflächen, zahlreichen Klarwasserseen, naturnahen Fließgewässern, Mooren, großflächigen Wäldern sowie einer Kulturlandschaft, die durch ein kleinflächiges Mosaik aus Feuchtwiesen, Mager- und Trockenrasen, artenreichen Äckern, Weiden, Staudenfluren, Seggenrieden und Hecken geprägt ist;</w:t>
      </w:r>
    </w:p>
    <w:p>
      <w:r>
        <w:t xml:space="preserve">die Erhaltung des Gebietes als wesentlicher Teil des überregionalen Biotopverbundes zwischen dem Lychener Seenkreuz, dem Feldberger Seengebiet und dem Naturschutzgebiet „Brüsenwalde“.</w:t>
      </w:r>
    </w:p>
    <w:p>
      <w:r>
        <w:t xml:space="preserve">(2) Die Unterschutzstellung dient der Erhaltung und Entwicklung</w:t>
      </w:r>
    </w:p>
    <w:p>
      <w:r>
        <w:t xml:space="preserve">eines Teiles des Europäischen Vogelschutzgebietes „Uckermärkische Seenlandschaft“ (§ 7 Absatz 1 Nummer 7 des Bundesnaturschutzgesetzes) in seiner Funktion als Lebensraum von Arten nach Anhang I der Richtlinie 79/409 EWG , insbesondere Seeadler (Haliaeetus albicilla), Fischadler (Pandion haliaetus), Schwarzstorch (Ciconia nigra), Kranich (Grus grus), Rohrdommel (Botaurus stellaris), Schellente (Bucephala clangula), Schwarz- (Dryocopus martius) und Mittelspecht (Dendrocopus medius) sowie Zwergschnäpper (Ficedula parva) einschließlich ihrer Brut- und Nahrungsbiotope;</w:t>
      </w:r>
    </w:p>
    <w:p>
      <w:r>
        <w:t xml:space="preserve">des Gebietes von gemeinschaftlicher Bedeutung „Küstrinchen“ (§ 7 Absatz 1 Nummer 6 des Bundesnaturschutzgesetzes), das ehemals einen Teil des Gebietes von gemeinschaftlicher Bedeutung „Hardenbeck-Küstrinchen“ umfasste, mit seinen Vorkommen von</w:t>
      </w:r>
    </w:p>
    <w:p>
      <w:r>
        <w:t xml:space="preserve">Oligo- bis mesotrophen kalkhaltigen Gewässern mit benthischer Vegetation aus Armleuchteralgen, Oligo- bis mesotrophen stehenden Gewässern mit Vegetation der Littorelletea uniflorae und/oder der Isoeto-Nanojuncetea, Natürlichen eutrophen Seen mit einer Vegetation des Magnopotamions oder Hydrocharitions, Dystrophen Seen und Teichen, Flüssen der planaren Stufe mit Vegetation des Ranunculion fluitantis und des Callitricho-Batrachion, Übergangs- und Schwingrasenmooren, Kalkreichen Niedermooren, Hainsimsen-Buchenwäldern und Waldmeister-Buchenwäldern als natürliche Lebensraumtypen von gemeinschaftlichem Interesse im Sinne von § 7 Absatz 1 Nummer 4 des Bundesnaturschutzgesetzes,</w:t>
      </w:r>
    </w:p>
    <w:p>
      <w:r>
        <w:t xml:space="preserve">Kalkreichen Sümpfen mit Cladium mariscus und Arten des Caricion davallianae, Moorwäldern, Auen-Wäldern mit Alnus glutinosa und Fraxinus excelsior (Alno-Padion, Anion incanae, Salicion albae) als prioritäre natürliche Lebensraumtypen im Sinne von § 7 Absatz 1 Nummer 5 des Bundesnaturschutzgesetzes,</w:t>
      </w:r>
    </w:p>
    <w:p>
      <w:r>
        <w:t xml:space="preserve">Biber (Castor fiber), Fischotter (Lutra lutra), Kammmolch (Triturus cristatus), Bachneunauge (Lampetra planeri), Steinbeißer (Cobitis taenia), Schlammpeitzger (Misgurnus fossilis), Bitterling (Rhodeus amarus), Großem Feuerfalter (Lycaena dispar), Schmalbindigem Tauchkäfer (Graphoderus bilineatus), Breitrand (Dytiscus latissimus), Großer Moosjungfer (Leucorrhinia pectoralis), Kleiner Flussmuschel (Unio crassus), Schmaler Windelschnecke (Vertigo angustior), Vierzähniger Windelschnecke (Vertigo geyeri) und Bauchiger Windelschnecke (Vertigo moulinsiana) als Arten von gemeinschaftlichem Interesse im Sinne von § 7 Absatz 2 Nummer 10 des Bundesnaturschutzgesetzes, einschließlich ihrer für Fortpflanzung, Ernährung, Wanderung und Überwinterung wichtigen Lebensräume,</w:t>
      </w:r>
    </w:p>
    <w:p>
      <w:r>
        <w:t xml:space="preserve">Sumpfglanzkraut (Liparis loeselii) als Art von gemeinschaftlichem Interesse im Sinne von § 7 Absatz 2 Nummer 10 des Bundesnaturschutzgesetzes, einschließlich seiner Lebensräume und den für ihre Reproduktion erforderlichen Standortbedingungen.</w:t>
      </w:r>
    </w:p>
    <w:p>
      <w:r>
        <w:rPr>
          <w:color w:val="555555"/>
          <w:sz w:val="17"/>
        </w:rPr>
        <w:t xml:space="preserve">Zitiervorschlag: § 3 VO-NSG_KUESTRINCHEN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https://recht.nulegal.eu/gesetze/VO-NSG_KUESTRINCHEN/3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