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VO-NSG_GUELPER_SEE (Brandenburg) — Verbote für die Einwirkungszone</w:t>
      </w:r>
    </w:p>
    <w:p>
      <w:r>
        <w:rPr>
          <w:color w:val="555555"/>
          <w:sz w:val="18"/>
        </w:rPr>
        <w:t xml:space="preserve">Verordnung über das Naturschutzgebiet „Gülper 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In der nach § 2 Absatz 3 benannten, außerhalb des Naturschutzgebietes gelegenen, Einwirkungszone ist die Jagd auf Federwild verboten. Zur Schadensabwehr auf gefährdeten Ackerkulturen ist die Vergrämung von Gänsen, auch durch Jagd, mit Zustimmung der unteren Naturschutzbehörde zulässig.</w:t>
      </w:r>
    </w:p>
    <w:p>
      <w:r>
        <w:rPr>
          <w:color w:val="555555"/>
          <w:sz w:val="17"/>
        </w:rPr>
        <w:t xml:space="preserve">Zitiervorschlag: § 5 VO-NSG_GUELPER_SEE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https://recht.nulegal.eu/gesetze/VO-NSG_GUELPER_SEE/5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