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VO-NSG_GUELPER_SEE (Brandenburg) — Schutzzweck</w:t>
      </w:r>
    </w:p>
    <w:p>
      <w:r>
        <w:rPr>
          <w:color w:val="555555"/>
          <w:sz w:val="18"/>
        </w:rPr>
        <w:t xml:space="preserve">Verordnung über das Naturschutzgebiet „Gülper See“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Schutzzweck des Naturschutzgebietes ist</w:t>
      </w:r>
    </w:p>
    <w:p>
      <w:r>
        <w:t xml:space="preserve">die Erhaltung, Wiederherstellung und Entwicklung der Lebensstätten wild lebender Pflanzengesellschaften, insbesondere der an Flachwasserseen gebundenen Wasserpflanzen- und Schwimmblattgesellschaften, der Feuchtgrünlandgesellschaften und der auf Dünenbereichen liegenden Trockenrasengesellschaften;</w:t>
      </w:r>
    </w:p>
    <w:p>
      <w:r>
        <w:t xml:space="preserve">die Erhaltung und Entwicklung der Lebensstätten wild lebender Pflanzenarten, darunter im Sinne von § 7 Absatz 2 Nummer 13 und 14 des Bundesnaturschutzgesetzes besonders und streng geschützte Arten, insbesondere Wasserfeder (Hottonia palustris), Zierliches Tausendgüldenkraut (Centaurium pulchellum), Sumpf-Schwertlilie (Iris pseudacorus), Feld-Mannstreu (Eryngium campestre) und Körnchen-Steinbrech (Saxifraga granulata);</w:t>
      </w:r>
    </w:p>
    <w:p>
      <w:r>
        <w:t xml:space="preserve">die Erhaltung und Entwicklung des Gebietes als Lebens- und Rückzugsraum sowie potenzielles Wiederausbreitungszentrum wild lebender Tierarten, insbesondere von Reptilien, Amphibien, Libellen und Watvögeln, darunter im Sinne von § 7 Absatz 2 Nummer 13 und 14 des Bundesnaturschutzgesetzes besonders und streng geschützte Arten, insbesondere Zauneidechse (Lacerta agilis), Knoblauchkröte (Pelobates fuscus), Kreuzkröte (Bufo calamita), Moorfrosch (Rana arvalis), Gebänderte Prachtlibelle (Calopteryx splendens), Gemeine Smaragdlibelle (Cordulia aenea), Bekassine (Gallinago gallinago), Großer Brachvogel (Numenius arquata), Kiebitz (Vanellus vanellus), Rotschenkel (Tringa totanus) und Uferschnepfe (Limosa limosa);</w:t>
      </w:r>
    </w:p>
    <w:p>
      <w:r>
        <w:t xml:space="preserve">die Erhaltung eines durch die Weichseleiszeit geprägten eutrophen Flachwassersees der Havelniederung mit Klarwasserphasen sowie die Erhaltung der angrenzenden Verlandungszonen, Niedermoorbereiche und der randlich gelegenen Dünengürtel;</w:t>
      </w:r>
    </w:p>
    <w:p>
      <w:r>
        <w:t xml:space="preserve">die Erhaltung und Entwicklung des Gebietes aus wissenschaftlichen Gründen zur Untersuchung langfristiger Entwicklungen eines europaweit bedeutsamen Vogelrastgebietes und Brutgebietes für Wiesenbrüter sowie zur Untersuchung der langfristigen Entwicklung von Feuchtgebieten;</w:t>
      </w:r>
    </w:p>
    <w:p>
      <w:r>
        <w:t xml:space="preserve">die Erhaltung der besonderen Eigenart und hervorragenden Schönheit des Gebietes mit seiner vielfältigen</w:t>
      </w:r>
    </w:p>
    <w:p>
      <w:r>
        <w:t xml:space="preserve">Naturausstattung, die durch den Gülper See, artenreiche Feuchtwiesen und die randlichen Dünen bestimmt wird;</w:t>
      </w:r>
    </w:p>
    <w:p>
      <w:r>
        <w:t xml:space="preserve">die Erhaltung und Entwicklung des Gebietes als wesentlicher Teil des überregionalen Biotopverbundes zwischen dem Unteren Rhinluch und dem Havelländischen Luch.</w:t>
      </w:r>
    </w:p>
    <w:p>
      <w:r>
        <w:t xml:space="preserve">(2) Die Unterschutzstellung dient der Erhaltung und Entwicklung</w:t>
      </w:r>
    </w:p>
    <w:p>
      <w:r>
        <w:t xml:space="preserve">eines Teiles des Europäischen Vogelschutzgebietes „Niederung der Unteren Havel“ (§ 7 Absatz 1 Nummer 7 des Bundesnaturschutzgesetzes) in seiner Funktion</w:t>
      </w:r>
    </w:p>
    <w:p>
      <w:r>
        <w:t xml:space="preserve">als Lebensraum von Arten nach Anhang I der Richtlinie 2009/147/EG, insbesondere Fischadler (Pandion haliaetus), Seeadler (Haliaeetus albicilla), Rotmilan (Milvus milvus), Rohrweihe (Circus aeruginosus), Große Rohrdommel (Botaurus stellaris), Flussseeschwalbe (Sterna hirundo), Trauerseeschwalbe (Chlidonias niger), Wachtelkönig (Crex crex), Kampfläufer (Philomachus pugnax), Silberreiher (Ardea alba), Weißstorch (Ciconia ciconia) und Eisvogel (Alcedo atthis) einschließlich ihrer Brut- und Nahrungsbiotope,</w:t>
      </w:r>
    </w:p>
    <w:p>
      <w:r>
        <w:t xml:space="preserve">als Vermehrungs-, Nahrungs-, Rast-, Mauser- und Überwinterungsgebiet für im Gebiet regelmäßig auftretende Zugvogelarten wie Kranich (Grus grus), Bläßgans (Anser albifrons) und Tundrasaatgans (Anser fabalis rossicus), Singschwan (Cygnus cygnus) und Zwergschwan (Cygnus columbianus bewickii), Kiebitz (Vanellus vanellus), Knäkente (Anas querquedula) und Reiherente (Aythya fuligula);</w:t>
      </w:r>
    </w:p>
    <w:p>
      <w:r>
        <w:t xml:space="preserve">des Gebietes von gemeinschaftlicher Bedeutung „Gülper See“ (§ 7 Absatz 1 Nummer 6 des Bundesnaturschutzgesetzes), das ehemals einen Teil des Gebietes von gemeinschaftlicher Bedeutung „Niederung der Unteren Havel/Gülper See“ umfasste, mit seinen Vorkommen von</w:t>
      </w:r>
    </w:p>
    <w:p>
      <w:r>
        <w:t xml:space="preserve">Dünen mit offenen Grasflächen mit Corynephorus (Silbergras) und Agrostis (Straußgras), oligo- bis mesotrophen stehenden Gewässern mit Vegetation der Littorelletea uniflorae und der Isoeto-Nanojuncetea, natürlichen eutrophen Seen mit einer Vegetation des Magnopotamions und des Hydrocharitions, Flüssen der planaren Stufe mit Vegetation des Ranunculion fluitantis und des Callitricho-Batrachion, feuchten Hochstaudenfluren der planaren Stufe, Brenndolden-Auenwiesen (Cnidion dubii), mageren Flachlandmähwiesen, (Alopecurus pratensis (Wiesen-Fuchsschwanz), Sanguisorba officinalis (Großer Wiesenknopf)), alten bodensauren Eichenwäldern auf Sandebenen mit Quercus robur (Stiel-Eiche) als Biotope von gemeinschaftlichem Interesse („natürliche Lebensraumtypen“ im Sinne des Anhangs I der Richtlinie 92/43/EWG),</w:t>
      </w:r>
    </w:p>
    <w:p>
      <w:r>
        <w:t xml:space="preserve">trockenen, kalkreichen Sandrasen und Auen-Wäldern mit Alnus glutinosa (Schwarz-Erle) und Fraxinus excelsior (Gewöhnliche Esche) (Alno-Padion, Alnion incanae, Salicion albae) als prioritäre Biotope („prioritäre Lebensraumtypen“ im Sinne des Anhangs I der Richtlinie 92/43/EWG),</w:t>
      </w:r>
    </w:p>
    <w:p>
      <w:r>
        <w:t xml:space="preserve">Biber (Castor fiber), Fischotter (Lutra lutra), Kammmolch (Triturus cristatus), Rotbauchunke (Bombina bombina), Rapfen (Aspius aspius), Steinbeißer (Cobitis taenia), Flußneunauge (Lampetra fluviatilis), Schlammpeitzger (Misgurnus fossilis), Bitterling (Rhodeus amarus) und Großem Feuerfalter (Lycaena dispar) als Tierarten von gemeinschaftlichem Interesse (im Sinne des Anhangs II der Richtlinie 92/43/EWG) einschließlich ihrer für Fortpflanzung, Ernährung, Wanderung und Überwinterung wichtigen Lebensräume.</w:t>
      </w:r>
    </w:p>
    <w:p>
      <w:r>
        <w:rPr>
          <w:color w:val="555555"/>
          <w:sz w:val="17"/>
        </w:rPr>
        <w:t xml:space="preserve">Zitiervorschlag: § 3 VO-NSG_GUELPER_SEE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https://recht.nulegal.eu/gesetze/VO-NSG_GUELPER_SEE/3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