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VO-NSG_GUELPER_SEE (Brandenburg) — Schutzgegenstand</w:t>
      </w:r>
    </w:p>
    <w:p>
      <w:r>
        <w:rPr>
          <w:color w:val="555555"/>
          <w:sz w:val="18"/>
        </w:rPr>
        <w:t xml:space="preserve">Verordnung über das Naturschutzgebiet „Gülper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1 200 Hektar. Es umfasst Flächen in folgenden Fluren des Landkreises Havelland: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Havelaue</w:t>
      </w:r>
    </w:p>
    <w:p>
      <w:r>
        <w:t xml:space="preserve">Gülpe</w:t>
      </w:r>
    </w:p>
    <w:p>
      <w:r>
        <w:t xml:space="preserve">1, 2;</w:t>
      </w:r>
    </w:p>
    <w:p>
      <w:r>
        <w:t xml:space="preserve">Havelaue</w:t>
      </w:r>
    </w:p>
    <w:p>
      <w:r>
        <w:t xml:space="preserve">Strodehne</w:t>
      </w:r>
    </w:p>
    <w:p>
      <w:r>
        <w:t xml:space="preserve">11, 26, 27;</w:t>
      </w:r>
    </w:p>
    <w:p>
      <w:r>
        <w:t xml:space="preserve">Havelaue</w:t>
      </w:r>
    </w:p>
    <w:p>
      <w:r>
        <w:t xml:space="preserve">Wolsier</w:t>
      </w:r>
    </w:p>
    <w:p>
      <w:r>
        <w:t xml:space="preserve">4, 5;</w:t>
      </w:r>
    </w:p>
    <w:p>
      <w:r>
        <w:t xml:space="preserve">Rhinow</w:t>
      </w:r>
    </w:p>
    <w:p>
      <w:r>
        <w:t xml:space="preserve">Rhinow</w:t>
      </w:r>
    </w:p>
    <w:p>
      <w:r>
        <w:t xml:space="preserve">9, 14, 15, 16, 17.</w:t>
      </w:r>
    </w:p>
    <w:p>
      <w:r>
        <w:t xml:space="preserve">Eine Kartenskizze zur Orientierung über die Lage des Naturschutzgebietes ist dieser Verordnung als Anlage 1 beigefügt.</w:t>
      </w:r>
    </w:p>
    <w:p>
      <w:r>
        <w:t xml:space="preserve">(2) Die Grenze des Naturschutzgebietes ist in den in Anlage 2 dieser Verordnung aufgeführten Karten mit ununterbrochener roter Linie eingezeichnet; als Grenze gilt der innere Rand dieser Linie. Die in Anlage 2 Nummer 1 aufgeführten topografischen Karten mit den Blattnummern 1 bis 6 im Maßstab 1 : 10 000 ermöglichen die Verortung im Gelände. Maßgeblich für den Grenzverlauf ist die Einzeichnung in den in Anlage 2 Nummer 2 mit den Blattnummern 1 bis 26 aufgeführten Liegenschaftskarten. Eine Kartenblattübersicht mit dem Raster der Liegenschaftskarten im Maßstab 1 : 30 000 ist in Anlage 2 Nummer 3 aufgeführt. Zur Orientierung über die betroffenen Flurstücke ist eine Flurstücksliste als Anlage 3 beigefügt.</w:t>
      </w:r>
    </w:p>
    <w:p>
      <w:r>
        <w:t xml:space="preserve">Innerhalb des Naturschutzgebietes sind eine Zone 1 mit 330 Hektar und eine Zone 2 mit 80 Hektar mit unterschiedlichen Beschränkungen der landwirtschaftlichen Nutzung festgesetzt. Die Grenzen der Zonen sind in den in Anlage 2 Nummer 1 genannten topografischen Karten mit den Blattnummern 1 bis 6 und in den in Anlage 2 Nummer 2 genannten Liegenschaftskarten mit den Blattnummern 1 bis 26 mit ununterbrochener roter Linie eingezeichnet sowie in der in Anlage 2 Nummer 3 genannten Kartenblattübersicht vermerkt. Als Grenze gilt der innere Rand dieser Linie. Maßgeblich für den Grenzverlauf ist die Einzeichnung in den Liegenschaftskarten.</w:t>
      </w:r>
    </w:p>
    <w:p>
      <w:r>
        <w:t xml:space="preserve">(3) Für die außerhalb des Naturschutzgebietes liegende, in den in Absatz 2 Satz 3 genannten Karten als Einwirkungszone gekennzeichnete Fläche enthält diese Verordnung gemäß § 22 Absatz 1 Satz 3 Halbsatz 2 des Bundes­naturschutzgesetzes Verbote für Handlungen, die in das Naturschutzgebiet hineinwirken. Die Verbote werden in § 5 benannt. Die Einwirkungszone umfasst rund 1 550 Hektar und liegt in folgenden Fluren im Landkreis Havelland: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Havelaue</w:t>
      </w:r>
    </w:p>
    <w:p>
      <w:r>
        <w:t xml:space="preserve">Gülpe</w:t>
      </w:r>
    </w:p>
    <w:p>
      <w:r>
        <w:t xml:space="preserve">1, 2;</w:t>
      </w:r>
    </w:p>
    <w:p>
      <w:r>
        <w:t xml:space="preserve">Havelaue</w:t>
      </w:r>
    </w:p>
    <w:p>
      <w:r>
        <w:t xml:space="preserve">Strodehne</w:t>
      </w:r>
    </w:p>
    <w:p>
      <w:r>
        <w:t xml:space="preserve">24, 25, 26, 27;</w:t>
      </w:r>
    </w:p>
    <w:p>
      <w:r>
        <w:t xml:space="preserve">Havelaue</w:t>
      </w:r>
    </w:p>
    <w:p>
      <w:r>
        <w:t xml:space="preserve">Wolsier</w:t>
      </w:r>
    </w:p>
    <w:p>
      <w:r>
        <w:t xml:space="preserve">2, 4, 5, 6;</w:t>
      </w:r>
    </w:p>
    <w:p>
      <w:r>
        <w:t xml:space="preserve">Rhinow</w:t>
      </w:r>
    </w:p>
    <w:p>
      <w:r>
        <w:t xml:space="preserve">Rhinow</w:t>
      </w:r>
    </w:p>
    <w:p>
      <w:r>
        <w:t xml:space="preserve">3, 9, 14, 15, 16, 17.</w:t>
      </w:r>
    </w:p>
    <w:p>
      <w:r>
        <w:t xml:space="preserve">Die Grenze der Einwirkungszone ist in der in Absatz 1 genannten Kartenskizze und den in Anlage 2 Nummer 1 genannten topografischen Karten mit den Blattnummern 1 bis 6, in den in Anlage 2 Nummer 2 genannten Liegenschaftskarten mit den Blattnummern 1 bis 26 mit ununterbrochener roter Linie eingezeichnet sowie in der in Anlage 2 Nummer 3 genannten Kartenblattübersicht vermerkt. Als Grenze gilt der innere Rand dieser Linie. Maßgeblich für den Grenzverlauf ist die Einzeichnung in den Liegenschaftskarten.</w:t>
      </w:r>
    </w:p>
    <w:p>
      <w:r>
        <w:t xml:space="preserve">(4) Die Verordnung mit Karten und Flurstücksliste kann bei dem für Naturschutz und Landschaftspflege zuständigen Fachministerium des Landes Brandenburg, oberste Naturschutzbehörde, in Potsdam sowie beim Landkreis</w:t>
      </w:r>
    </w:p>
    <w:p>
      <w:r>
        <w:t xml:space="preserve">Havelland, untere Naturschutzbehörde,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VO-NSG_GUELPER_SEE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https://recht.nulegal.eu/gesetze/VO-NSG_GUELPER_SEE/2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