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VO-NSG_GUELPER_SEE (Brandenburg) — Geltendmachen von Rechtsmängeln</w:t>
      </w:r>
    </w:p>
    <w:p>
      <w:r>
        <w:rPr>
          <w:color w:val="555555"/>
          <w:sz w:val="18"/>
        </w:rPr>
        <w:t xml:space="preserve">Verordnung über das Naturschutzgebiet „Gülper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28 des Brandenburgischen Naturschutzgesetzes genannten Verfahrens- und Formvorschriften kann gegen diese Verordnung nur innerhalb eines Jahres nach ihrem Inkrafttreten schriftlich unter Angabe der verletzten Rechtsvorschrift und des Sachverhalts, der die Verletzung begründen soll, gegenüber dem für Naturschutz und Landschaftspflege zuständigen Fachministerium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rPr>
          <w:color w:val="555555"/>
          <w:sz w:val="17"/>
        </w:rPr>
        <w:t xml:space="preserve">Zitiervorschlag: § 11 VO-NSG_GUELPER_SEE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https://recht.nulegal.eu/gesetze/VO-NSG_GUELPER_SEE/11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