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VO-NSG_GUELPER_SEE (Brandenburg) — Duldungspflicht, Verhältnis zu anderen naturschutzrechtlichen Bestimmungen</w:t>
      </w:r>
    </w:p>
    <w:p>
      <w:r>
        <w:rPr>
          <w:color w:val="555555"/>
          <w:sz w:val="18"/>
        </w:rPr>
        <w:t xml:space="preserve">Verordnung über das Naturschutzgebiet „Gülper See“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Duldung von Maßnahmen des Naturschutzes und der Landschaftspflege, die zur Ausführung der in dieser Verordnung festgelegten Schutz-, Pflege-, Entwicklungs- und Wiederherstellungsmaßnahmen und zur Verwirklichung des Schutzzwecks erforderlich sind, richtet sich nach § 68 des Brandenburgischen Naturschutzgesetzes.</w:t>
      </w:r>
    </w:p>
    <w:p>
      <w:r>
        <w:t xml:space="preserve">(2) Die Vorschriften dieser Verordnung gehen anderen naturschutzrechtlichen Schutzausweisungen im Bereich des in § 2 genannten Gebietes vor.</w:t>
      </w:r>
    </w:p>
    <w:p>
      <w:r>
        <w:t xml:space="preserve">(3) Soweit diese Verordnung keine weiter gehenden Vorschriften enthält, bleiben die Regelungen über gesetzlich geschützte Teile von Natur und Landschaft (insbesondere §§ 31 bis 33 und § 35 des Brandenburgischen Naturschutzgesetzes, § 30 des Bundesnaturschutzgesetzes) und über den Schutz und die Pflege wild lebender Tier- und Pflanzenarten (§§ 37 bis 47 des Bundesnaturschutzgesetzes) unberührt.</w:t>
      </w:r>
    </w:p>
    <w:p>
      <w:r>
        <w:rPr>
          <w:color w:val="555555"/>
          <w:sz w:val="17"/>
        </w:rPr>
        <w:t xml:space="preserve">Zitiervorschlag: § 10 VO-NSG_GUELPER_SEE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https://recht.nulegal.eu/gesetze/VO-NSG_GUELPER_SEE/10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