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VO-NSG_GLINDOWER_ALPEN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„Glindower Alpen“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wird folgende Pflege- und Entwicklungsmaßnahme festgesetzt:</w:t>
      </w:r>
    </w:p>
    <w:p>
      <w:r>
        <w:t xml:space="preserve">Die Robinien und spätblühenden Traubenkirschen sind mit waldbaulichen Mitteln, kontinuierlich zugunsten einheimischer Baum- bzw. Straucharten zurückzudrängen.</w:t>
      </w:r>
    </w:p>
    <w:p>
      <w:r>
        <w:rPr>
          <w:color w:val="555555"/>
          <w:sz w:val="17"/>
        </w:rPr>
        <w:t xml:space="preserve">Zitiervorschlag: § 5 VO-NSG_GLINDOWER_ALPEN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https://recht.nulegal.eu/gesetze/VO-NSG_GLINDOWER_ALPEN/5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