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VO-NSG_GLINDOWER_ALPEN (Brandenburg) — Schutzzweck</w:t>
      </w:r>
    </w:p>
    <w:p>
      <w:r>
        <w:rPr>
          <w:color w:val="555555"/>
          <w:sz w:val="18"/>
        </w:rPr>
        <w:t xml:space="preserve">Verordnung über das Naturschutzgebiet „Glindower Alpen“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ist die Erhaltung und Entwicklung des Gebietes</w:t>
      </w:r>
    </w:p>
    <w:p>
      <w:r>
        <w:t xml:space="preserve">in seiner Eigenart als ehemaliges Tonabbaugebiet mit einer der Naturraumvielfalt bedingenden, ausgeprägten geomorphologischen Struktur sowie</w:t>
      </w:r>
    </w:p>
    <w:p>
      <w:r>
        <w:t xml:space="preserve">als Standort seltener, in ihrem Bestand bedrohter, wildwachsender Pflanzengesellschaften, insbesondere von Trockenrasen, wie Grasnelken- und Silbergrasfluren auf den Plateaus, artenreichem Hangschluchtwald mit Quellfluren und zahlreichen ausgedehnten Totholzbiotopen;</w:t>
      </w:r>
    </w:p>
    <w:p>
      <w:r>
        <w:t xml:space="preserve">als Lebensraum bestandsbedrohter Tierarten, insbesondere als Brut- und Nahrungsgebiet verschiedener, an unterschiedliche Biotope gebundener Vogelarten, als Laichgebiet und Sommerlebensraum von Reptilien und Amphibien sowie als Lebensraum für die alt- und totholzbewohnende Insektenfauna;</w:t>
      </w:r>
    </w:p>
    <w:p>
      <w:r>
        <w:t xml:space="preserve">aus ökologischen Gründen, insbesondere wegen der Vielfalt der mosaikartig strukturierten Kleinnaturräume;</w:t>
      </w:r>
    </w:p>
    <w:p>
      <w:r>
        <w:t xml:space="preserve">aus geologischen und kulturhistorischen Gründen zur Erhaltung der in Verbindung mit der Ziegelherstellung in Ringöfen vorhandenen Reste von Ton- und Lehmgewinnungsstätten.</w:t>
      </w:r>
    </w:p>
    <w:p>
      <w:r>
        <w:t xml:space="preserve">(2) Die Unterschutzstellung dient der Erhaltung und Entwicklung des Gebietes von gemeinschaftlicher Bedeutung „Glindower Alpen“ (§ 7 Absatz 1 Nummer 6 des Bundesnaturschutzgesetzes) mit seinen Vorkommen von</w:t>
      </w:r>
    </w:p>
    <w:p>
      <w:r>
        <w:t xml:space="preserve">Natürlichen eutrophen Seen mit einer Vegetation des Magnopotamions oder Hydrocharitions und Alten bodensauren Eichenwäldern auf Sandebenen mit Quercus robur als natürlichen Lebensraumtypen von gemeinschaftlichem Interesse im Sinne von § 7 Absatz 1 Nummer 4 des Bundesnaturschutzgesetzes;</w:t>
      </w:r>
    </w:p>
    <w:p>
      <w:r>
        <w:t xml:space="preserve">Trockenen, kalkreichen Sandrasen als prioritärem natürlichen Lebensraumtyp im Sinne von § 7 Absatz 1 Nummer 5 des Bundesnaturschutzgesetzes.</w:t>
      </w:r>
    </w:p>
    <w:p>
      <w:r>
        <w:rPr>
          <w:color w:val="555555"/>
          <w:sz w:val="17"/>
        </w:rPr>
        <w:t xml:space="preserve">Zitiervorschlag: § 3 VO-NSG_GLINDOWER_ALPEN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https://recht.nulegal.eu/gesetze/VO-NSG_GLINDOWER_ALPEN/3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