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VO-NSG_FRIEDRICHSHOF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im Lebensraumtyp Dünen mit offenen Grasflächen sollen offene Sandflächen durch geeignete Pflegemaßnahmen erhalten oder neu geschaffen werden;</w:t>
      </w:r>
    </w:p>
    <w:p>
      <w:r>
        <w:t xml:space="preserve">die im Gebiet liegenden Trockenrasen sollen in mehrjährigen Abständen gemäht und gegebenenfalls entbuscht werden. Auf ruderalisierten Standorten kann eine intensivere Pflege zur Schaffung einer typischen Biotopausprägung erfolgen;</w:t>
      </w:r>
    </w:p>
    <w:p>
      <w:r>
        <w:t xml:space="preserve">nicht standortgerechte sowie nicht heimische Baum- und Straucharten sollen aus Wäldern sowie aus Gehölzgruppen und -reihen entfernt werden. Die Kiefernreinbestände sollen mittel- bis langfristig in naturnahe Laubwald- oder Laub-Nadelwaldbestände umgebaut werden;</w:t>
      </w:r>
    </w:p>
    <w:p>
      <w:r>
        <w:t xml:space="preserve">die Brutbäume von Eremit und Heldbock sollen teilweise freigestellt werden, um ein geeignetes Mikroklima in den von Käfern besiedelten Baumhöhlungen sicherzustellen. Dies soll so erfolgen, dass keine erhöhte Windwurfgefahr eintritt;</w:t>
      </w:r>
    </w:p>
    <w:p>
      <w:r>
        <w:t xml:space="preserve">zum dauerhaften Erhalt der in der in § 2 Absatz 2 genannten topografischen Karte gekennzeichneten Eichenreihe sollen abgehende Eichen ersetzt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