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VO-NSG_FRIEDRICHSHOF (Brandenburg) — Schutzzweck</w:t>
      </w:r>
    </w:p>
    <w:p>
      <w:r>
        <w:rPr>
          <w:color w:val="555555"/>
          <w:sz w:val="18"/>
        </w:rPr>
        <w:t xml:space="preserve">Verordnung über das Naturschutzgebiet „Friedrichshof“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des Naturschutzgebietes, als einem von Wald geprägten Teil des Baruther Tales mit Dünen und Niederungsbereichen, ist</w:t>
      </w:r>
    </w:p>
    <w:p>
      <w:r>
        <w:t xml:space="preserve">die Erhaltung, Wiederherstellung und Entwicklung der Lebensstätten wild lebender Pflanzengesellschaften, insbesondere von Laubwäldern, naturnahen Fließgewässern, Dünen und Wäldern trockener und nährstoffarmer Standorte sowie Sandtrockenrasen;</w:t>
      </w:r>
    </w:p>
    <w:p>
      <w:r>
        <w:t xml:space="preserve">die Erhaltung und Entwicklung der Lebensstätten wild lebender Pflanzenarten, darunter im Sinne von § 7 Absatz 2 Nummer 13 des Bundesnaturschutzgesetzes besonders geschützte Arten, insbesondere Gewöhnliche Grasnelke (Armeria maritima), Sandstrohblume (Helichrysum arenarium), Leberblümchen (Hepatica nobilis), Wasser-Schwertlilie (Iris pseudacorus) und Weiße Waldhyazinthe (Platanthera bifolia);</w:t>
      </w:r>
    </w:p>
    <w:p>
      <w:r>
        <w:t xml:space="preserve">die Erhaltung und Entwicklung des Gebietes als Lebens- und Rückzugsraum sowie potenzielles Wiederausbreitungszentrum wild lebender Tierarten, insbesondere für an Waldlebensräume und trockene Lebensräume gebundene Vogel-, Reptilien- und Insektenarten;</w:t>
      </w:r>
    </w:p>
    <w:p>
      <w:r>
        <w:t xml:space="preserve">die Erhaltung der Dünenstandorte aus naturgeschichtlichen Gründen;</w:t>
      </w:r>
    </w:p>
    <w:p>
      <w:r>
        <w:t xml:space="preserve">die Erhaltung des Gebietes aufgrund seiner Seltenheit, besonderen Eigenart und hervorragenden Schönheit;</w:t>
      </w:r>
    </w:p>
    <w:p>
      <w:r>
        <w:t xml:space="preserve">die Erhaltung und Entwicklung des Gebietes als wesentlicher Teil des landesweiten Biotopverbundes im Baruther Tal zwischen dem Fläming und dem ostbrandenburgischen Heide- und Seengebiet.</w:t>
      </w:r>
    </w:p>
    <w:p>
      <w:r>
        <w:t xml:space="preserve">(2) Die Unterschutzstellung dient der Erhaltung und Entwicklung eines Teils des Gebietes von gemeinschaftlicher Bedeutung „Glashütte/Mochheide“ (§ 7 Absatz 1 Nummer 6 des Bundesnaturschutzgesetzes) mit seinen Vorkommen von</w:t>
      </w:r>
    </w:p>
    <w:p>
      <w:r>
        <w:t xml:space="preserve">Dünen mit offenen Grasflächen mit Corynephorus und Agrostis, Mitteleuropäischem Stieleichenwald oder Eichen-Hainbuchenwald (Carpinion betuli), Alten bodensauren Eichenwäldern auf Sandebenen mit Quercus robur sowie Mitteleuropäischen Flechten-Kiefernwäldern als natürlichen Lebensraumtypen von gemeinschaftlichem Interesse im Sinne von § 7 Absatz 1 Nummer 4 des Bundesnaturschutzgesetzes;</w:t>
      </w:r>
    </w:p>
    <w:p>
      <w:r>
        <w:t xml:space="preserve">Fischotter (Lutra lutra), Mopsfledermaus (Barbastella barbastellus) sowie Heldbock (Cerambyx cerdo) als Arten von gemeinschaftlichem Interesse im Sinne von § 7 Absatz 2 Nummer 10 des Bundesnaturschutzgesetzes, einschließlich ihrer für Fortpflanzung, Ernährung, Wanderung und Überwinterung wichtigen Lebensräume;</w:t>
      </w:r>
    </w:p>
    <w:p>
      <w:r>
        <w:t xml:space="preserve">Eremit (Osmoderma eremita) als prioritäre Art im Sinne von § 7 Absatz 2 Nummer 11 des Bundesnaturschutzgesetzes, einschließlich seiner für Fortpflanzung, Ernährung, Wanderung und Überwinterung wichtigen Lebensräume.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VO-NSG_FRIEDRICHSHOF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https://recht.nulegal.eu/gesetze/VO-NSG_FRIEDRICHSHOF/3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