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VO-NSG_FRIEDRICHSHOF (Brandenburg) — Schutzgegenstand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120 Hektar. Es besteht aus zwei Teilflächen südlich und nördlich der Ortslage Friedrichshof. Es umfasst Flächen in folgenden Fluren:</w:t>
      </w:r>
    </w:p>
    <w:p>
      <w:r>
        <w:t xml:space="preserve">Gemeinde: Gemarkung: Flur: Flurstücke:</w:t>
      </w:r>
    </w:p>
    <w:p>
      <w:r>
        <w:t xml:space="preserve">Rietzneuendorf-Staakow</w:t>
      </w:r>
    </w:p>
    <w:p>
      <w:r>
        <w:t xml:space="preserve">Friedrichshof</w:t>
      </w:r>
    </w:p>
    <w:p>
      <w:r>
        <w:t xml:space="preserve">1</w:t>
      </w:r>
    </w:p>
    <w:p>
      <w:r>
        <w:t xml:space="preserve">86 bis 99 (jeweils anteilig), 101/1 (anteilig), 102 bis 106</w:t>
      </w:r>
    </w:p>
    <w:p>
      <w:r>
        <w:t xml:space="preserve">(jeweils anteilig), 108/1 (anteilig), 120 (anteilig), 121</w:t>
      </w:r>
    </w:p>
    <w:p>
      <w:r>
        <w:t xml:space="preserve">(anteilig), 124/1 (anteilig), 124/2 (anteilig), 138 (anteilig),</w:t>
      </w:r>
    </w:p>
    <w:p>
      <w:r>
        <w:t xml:space="preserve">139, 140, 141 (anteilig), 143 (anteilig), 144 (anteilig),</w:t>
      </w:r>
    </w:p>
    <w:p>
      <w:r>
        <w:t xml:space="preserve">207/1 (anteilig), 246 (anteilig), 247 (anteilig);</w:t>
      </w:r>
    </w:p>
    <w:p>
      <w:r>
        <w:t xml:space="preserve">Friedrichshof</w:t>
      </w:r>
    </w:p>
    <w:p>
      <w:r>
        <w:t xml:space="preserve">2</w:t>
      </w:r>
    </w:p>
    <w:p>
      <w:r>
        <w:t xml:space="preserve">2, 4 (anteilig), 20 (anteilig), 21, 23 (anteilig);</w:t>
      </w:r>
    </w:p>
    <w:p>
      <w:r>
        <w:t xml:space="preserve">Rietzneuendorf</w:t>
      </w:r>
    </w:p>
    <w:p>
      <w:r>
        <w:t xml:space="preserve">1</w:t>
      </w:r>
    </w:p>
    <w:p>
      <w:r>
        <w:t xml:space="preserve">17 (anteilig), 18 (anteilig), 20 (anteilig), 30 (anteilig),</w:t>
      </w:r>
    </w:p>
    <w:p>
      <w:r>
        <w:t xml:space="preserve">36 (anteilig), 185 bis 187, 188 (anteilig), 189 bis 201,</w:t>
      </w:r>
    </w:p>
    <w:p>
      <w:r>
        <w:t xml:space="preserve">202 (anteilig), 203 (anteilig), 204 bis 207, 208 (anteilig),</w:t>
      </w:r>
    </w:p>
    <w:p>
      <w:r>
        <w:t xml:space="preserve">209 (anteilig), 219 (anteilig), 220 (anteilig), 230.</w:t>
      </w:r>
    </w:p>
    <w:p>
      <w:r>
        <w:t xml:space="preserve">Eine Kartenskizze zur Orientierung über die Lage des Naturschutzgebietes ist dieser Verordnung als Anlage 1 beigefügt.</w:t>
      </w:r>
    </w:p>
    <w:p>
      <w:r>
        <w:t xml:space="preserve">(2) Die Grenze des Naturschutzgebietes ist in den in Anlage 2 dieser Verordnung aufgeführten Karten mit ununterbrochener roter Linie eingezeichnet; als Grenze gilt der innere Rand dieser Linie. Die in Anlage 2 Nummer 1 aufgeführte topografische Karte im Maßstab 1 : 10 000 mit der Blattnummer 1 ermöglicht die Verortung im Gelände. Maßgeblich für den Grenzverlauf ist die Einzeichnung in den in Anlage 2 Nummer 2 mit den Blattnummern 1 bis 4 aufgeführten Liegenschaftskarten.</w:t>
      </w:r>
    </w:p>
    <w:p>
      <w:r>
        <w:t xml:space="preserve">(3) Die Verordnung mit Karten kann bei dem für Naturschutz und Landschaftspflege zuständigen Fachministerium des Landes Brandenburg, oberste Naturschutzbehörde, in Potsdam sowie beim Landkreis Dahme-Spreewald, untere Naturschutzbehörde, von jedermann während der Dienstzeiten kostenlos eingesehen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