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VO-NSG_FRIEDRICHSHOF (Brandenburg) — Geltendmachen von Rechtsmängeln</w:t>
      </w:r>
    </w:p>
    <w:p>
      <w:r>
        <w:rPr>
          <w:color w:val="555555"/>
          <w:sz w:val="18"/>
        </w:rPr>
        <w:t xml:space="preserve">Verordnung über das Naturschutzgebiet „Friedrichshof“</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9 des Brandenburgischen Naturschutzausführungsgesetzes genannten Verfahrens- und Formvorschriften kann gegen diese Verordnung nur innerhalb eines Jahres nach ihrem Inkrafttreten schriftlich unter Angabe der verletzten Rechtsvorschrift und des Sachverhalts, der die Verletzung begründen soll, gegenüber dem für Naturschutz und Landschaftspflege zuständigen Fachministerium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t xml:space="preserve">Einzelnorm</w:t>
      </w:r>
    </w:p>
    <w:p>
      <w:r>
        <w:rPr>
          <w:color w:val="555555"/>
          <w:sz w:val="17"/>
        </w:rPr>
        <w:t xml:space="preserve">Zitiervorschlag: § 10 VO-NSG_FRIEDRICHSHOF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https://recht.nulegal.eu/gesetze/VO-NSG_FRIEDRICHSHOF/10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