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VO-NSG_EICHWALD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„Eichwald mit Tzschetzschnower Schweiz und Steiler Wand“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 und Entwicklungsmaßnahmen und zur Verwirklichung des Schutzzwecks erforderlich sind, richtet sich nach § 65 des Bundesnaturschutzgesetzes in Verbindung mit § 25 des Brandenburgischen Naturschutzausführungsgesetzes.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 gehenden Vorschriften enthält, bleiben die Regelungen über gesetzlich geschützte Teile von Natur und Landschaft (§ 17 des Brandenburgischen Naturschutzausführungsgesetzes, § 30 des Bundesnaturschutzgesetzes in Verbindung mit § 18 des Brandenburgischen Naturschutzausführungsgesetzes), über das Netz „Natura 2000“ (§§ 33 und 34 des Bundesnaturschutzgesetzes) und über den Schutz und die Pflege wild lebender Tier- und Pflanzenarten (§§ 37 bis 47 des Bundesnaturschutzgesetzes) sowie über Horststandorte (§ 19 des Brandenburgischen Naturschutzausführungsgesetzes)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VO-NSG_EICHWALD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https://recht.nulegal.eu/gesetze/VO-NSG_EICHWALD/9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