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VO-NSG_DOEMNITZ (Brandenburg) — Zulässige Handlungen</w:t>
      </w:r>
    </w:p>
    <w:p>
      <w:r>
        <w:rPr>
          <w:color w:val="555555"/>
          <w:sz w:val="18"/>
        </w:rPr>
        <w:t xml:space="preserve">Verordnung über das Naturschutzgebiet „Dömnitz“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den in § 5 Absatz 2 des Bundesnaturschutzgesetzes und in § 2 des Brandenburgischen Naturschutzausführungsgesetzes genannten Grundsätzen der guten fachlichen Praxis entsprechende landwirtschaftliche Bodennutzung in der bisherigen Art und im bisherigen Umfang auf den bisher rechtmäßig dafür genutzten Flächen mit der Maßgabe, dass</w:t>
      </w:r>
    </w:p>
    <w:p>
      <w:r>
        <w:t xml:space="preserve">Grünland innerhalb des Gebietes von gemeinschaftlicher Bedeutung „Dömnitz“ als Wiese oder Weide genutzt wird und die jährliche Zufuhr an Pflanzennährstoffen über Düngemittel inklusive der Exkremente von Weidetieren je Hektar Grünland die Menge nicht überschreitet, die dem Nährstoffäquivalent des Dunganfalls von 1,4 Raufutter verwertende Großvieheinheiten (RGV) entspricht, ohne chemisch-synthetische Stickstoffdüngemittel, Gülle, Jauche, Gärreste oder Sekundärrohstoffdünger einzusetzen.</w:t>
      </w:r>
    </w:p>
    <w:p>
      <w:r>
        <w:t xml:space="preserve">Sekundärrohstoffdünger im Sinne dieser Verordnung sind Abwasser, Fäkalien, Klärschlamm und ähnliche Stoffe aus Siedlungsabfällen und vergleichbare Stoffe aus anderen Quellen, jeweils auch weiterbehandelt und in Mischungen untereinander oder mit Düngemitteln, Wirtschaftsdünger, Bodenhilfsstoffen, Kultursubstraten und Pflanzenhilfsmitteln.</w:t>
      </w:r>
    </w:p>
    <w:p>
      <w:r>
        <w:t xml:space="preserve">bei Beweidung Gehölze und Gewässerufer an der Böschungsoberkante sowie Quellen und Quellbereiche in einem Abstand von 5 Metern zum äußeren Rand der quelligen Bereiche auszuzäunen sind,</w:t>
      </w:r>
    </w:p>
    <w:p>
      <w:r>
        <w:t xml:space="preserve">auf Grünland § 4 Absatz 2 Nummer 23 und 24 gilt. Bei Narbenschäden ist mit Zustimmung der unteren Naturschutzbehörde eine umbruchlose Nachsaat zulässig,</w:t>
      </w:r>
    </w:p>
    <w:p>
      <w:r>
        <w:t xml:space="preserve">bei der Nutzung der Ackerflächen der Einsatz von chemisch-synthetischen Düngemitteln, Gülle, Jauche, Gärresten, Herbiziden und Insektiziden unzulässig ist;</w:t>
      </w:r>
    </w:p>
    <w:p>
      <w:r>
        <w:t xml:space="preserve">die dem in § 5 Absatz 3 des Bundesnaturschutzgesetzes genannten Ziel entsprechende forstwirtschaftliche Bodennutzung in der bisherigen Art und im bisherigen Umfang auf den bisher rechtmäßig dafür genutzten Flächen mit der Maßgabe, dass</w:t>
      </w:r>
    </w:p>
    <w:p>
      <w:r>
        <w:t xml:space="preserve">die Walderneuerung auf den in § 3 Absatz 2 Nummer 1 und 2 genannten Waldlebensraumtypen durch Naturverjüngung erfolgt. Sofern keine ausreichende Naturverjüngung erfolgt, dürfen nur lebensraumtypische Arten eingebracht werden. In die übrigen Waldflächen sind nur Arten der potenziell natürlichen Vegetation einzubringen. Es sind nur heimische Baumarten in lebensraumtypischen Anteilen unter Ausschluss eingebürgerter Arten zu verwenden,</w:t>
      </w:r>
    </w:p>
    <w:p>
      <w:r>
        <w:t xml:space="preserve">in den in § 3 Absatz 2 Nummer 1 und 2 genannten Waldlebensraumtypen eine Nutzung ausschließlich einzelstamm- bis truppweise erfolgt, wobei ein Bestockungsgrad von 0,7 nicht unterschritten werden darf. Auf den übrigen Waldflächen sind Holzerntemaßnahmen, die den Holzvorrat auf weniger als 40 Prozent des üblichen Vorrats reduzieren, nur bis zu einer Größe von 0,5 Hektar zulässig,</w:t>
      </w:r>
    </w:p>
    <w:p>
      <w:r>
        <w:t xml:space="preserve">mindestens fünf Stämme je Hektar mit einem Durchmesser von mindestens 30 Zentimetern in 1,30 Meter Höhe über dem Stammfuß bis zum Absterben aus der Nutzung genommen sein müssen,</w:t>
      </w:r>
    </w:p>
    <w:p>
      <w:r>
        <w:t xml:space="preserve">je Hektar mindestens fünf Stück stehendes Totholz mit mehr als 30 Zentimeter Durchmesser in 1,30 Meter Höhe über dem Stammfuß nicht gefällt werden; liegendes Totholz (ganze Bäume mit Durchmesser von über 65 Zentimetern am stärksten Ende) verbleibt im Bestand,</w:t>
      </w:r>
    </w:p>
    <w:p>
      <w:r>
        <w:t xml:space="preserve">hydromorphe Böden nur bei gefrorenem Boden mit ausreichender Tragfähigkeit sowie Böden mit einem hohen Anteil an feinkörnigem Substrat nur bei Frost oder in Trockenperioden auf dauerhaft festgelegten Rückegassen befahren werden,</w:t>
      </w:r>
    </w:p>
    <w:p>
      <w:r>
        <w:t xml:space="preserve">Horst- und Höhlenbäume nicht entfernt werden,</w:t>
      </w:r>
    </w:p>
    <w:p>
      <w:r>
        <w:t xml:space="preserve">Kalkung auf den Flächen der Waldlebensraumtypen Hainsimsen-Buchenwald und Alten bodensauren Eichenwäldern auf Sandebenen mit Quercus robur unzulässig ist,</w:t>
      </w:r>
    </w:p>
    <w:p>
      <w:r>
        <w:t xml:space="preserve">§ 4 Absatz 2 Nummer 17 und 23 gilt;</w:t>
      </w:r>
    </w:p>
    <w:p>
      <w:r>
        <w:t xml:space="preserve">die den in § 5 Absatz 4 des Bundesnaturschutzgesetzes genannten Anforderungen in Verbindung mit dem Fischereigesetz für das Land Brandenburg entsprechende fischereiwirtschaftliche Flächennutzung in der bisherigen Art und im bisherigen Umfang auf den bisher rechtmäßig dafür genutzten Flächen mit der Maßgabe, dass</w:t>
      </w:r>
    </w:p>
    <w:p>
      <w:r>
        <w:t xml:space="preserve">die in § 3 Absatz 2 Nummer 3 genannten Arten Westgroppe (Cottus gobio), Bachneunauge (Lampetra planeri), Kleine Flussmuschel (Unio crassus) sowie Edelkrebs (Astacus astacus) ganzjährig geschont werden,</w:t>
      </w:r>
    </w:p>
    <w:p>
      <w:r>
        <w:t xml:space="preserve">Fanggeräte und Fangmittel so einzusetzen oder auszustatten sind, dass eine Gefährdung des Fischotters und Bibers weitgehend ausgeschlossen ist,</w:t>
      </w:r>
    </w:p>
    <w:p>
      <w:r>
        <w:t xml:space="preserve">Hegepläne im Einvernehmen mit der unteren Naturschutzbehörde zu erstellen sind,</w:t>
      </w:r>
    </w:p>
    <w:p>
      <w:r>
        <w:t xml:space="preserve">die Elektrofischerei in Bereichen mit Vorkommen des Edelkrebses nur mit Zustimmung der unteren Naturschutzbehörde erfolgt;</w:t>
      </w:r>
    </w:p>
    <w:p>
      <w:r>
        <w:t xml:space="preserve">die rechtmäßige Ausübung der Angelfischerei mit der Maßgabe, dass</w:t>
      </w:r>
    </w:p>
    <w:p>
      <w:r>
        <w:t xml:space="preserve">die in § 3 Absatz 2 Nummer 3 genannten Arten Westgroppe (Cottus gobio), Bachneunauge (Lampetra planeri), Kleine Flussmuschel (Unio crassus) sowie der Edelkrebs (Astacus astacus) ganzjährig geschont werden,</w:t>
      </w:r>
    </w:p>
    <w:p>
      <w:r>
        <w:t xml:space="preserve">die Angelfischerei nur vom Ufer aus erfolgt,</w:t>
      </w:r>
    </w:p>
    <w:p>
      <w:r>
        <w:t xml:space="preserve">in der Dömnitz einschließlich der Nebengewässer der Fang von Köderfischen, auch der nicht geschützten Arten, verboten ist und das Angeln nur in der Zeit vom 16. April bis 30. November eines jeden Jahres und ausschließlich unter Verwendung künstlicher Köder erfolgt,</w:t>
      </w:r>
    </w:p>
    <w:p>
      <w:r>
        <w:t xml:space="preserve">§ 4 Absatz 2 Nummer 19 und 20 gilt;</w:t>
      </w:r>
    </w:p>
    <w:p>
      <w:r>
        <w:t xml:space="preserve">für den Bereich der Jagd:</w:t>
      </w:r>
    </w:p>
    <w:p>
      <w:r>
        <w:t xml:space="preserve">die rechtmäßige Ausübung der Jagd mit der Maßgabe, dass aa)</w:t>
      </w:r>
    </w:p>
    <w:p>
      <w:r>
        <w:t xml:space="preserve">die Fallenjagd mit Lebendfallen erfolgt und bis zu einem Abstand von 100 Metern zum Gewässerufer der Dömnitz einschließlich der Nebengewässer verboten ist,</w:t>
      </w:r>
    </w:p>
    <w:p>
      <w:r>
        <w:t xml:space="preserve">bb)</w:t>
      </w:r>
    </w:p>
    <w:p>
      <w:r>
        <w:t xml:space="preserve">keine Baujagd bis zu einem Abstand von 100 Metern zum Gewässerufer der Dömnitz einschließlich der Nebengewässer vorgenommen wird,</w:t>
      </w:r>
    </w:p>
    <w:p>
      <w:r>
        <w:t xml:space="preserve">die Errichtung ortsunveränderlicher jagdlicher Einrichtungen zur Ansitzjagd mit Zustimmung der unteren Naturschutzbehörde. Die Zustimmung ist zu erteilen, wenn der Schutzzweck nicht beeinträchtigt wird. Mögliche Standorte transportabler und mobiler Ansitzeinrichtungen sind der unteren Naturschutzbehörde vor der Aufstellung zu Beginn eines Jagdjahres anzuzeigen. Die untere Naturschutzbehörde kann in begründeten Einzelfällen das Aufstellen verbieten, wenn es dem Schutzzweck entgegensteht. Die Entscheidung hierüber soll unverzüglich erfolgen,</w:t>
      </w:r>
    </w:p>
    <w:p>
      <w:r>
        <w:t xml:space="preserve">die Anlage von Kirrungen außerhalb gesetzlich geschützter Biotope und der in § 3 Absatz 2 genannten Lebensraumtypen,</w:t>
      </w:r>
    </w:p>
    <w:p>
      <w:r>
        <w:t xml:space="preserve">Ablenkfütterungen sowie die Anlage von Ansaatwildwiesen und die Anlage von Wildäckern bleiben unzulässig;</w:t>
      </w:r>
    </w:p>
    <w:p>
      <w:r>
        <w:t xml:space="preserve">die im Sinne des § 10 des Brandenburgischen Straßengesetzes ordnungsgemäße Unterhaltung der dem öffentlichen Verkehr gewidmeten Straßen und Wege sowie die ordnungsgemäße Unterhaltung sonstiger rechtmäßig bestehender Anlagen, sofern sie nicht unter die Nummer 8 fallen, jeweils im Einvernehmen mit der unteren Naturschutzbehörde;</w:t>
      </w:r>
    </w:p>
    <w:p>
      <w:r>
        <w:t xml:space="preserve">die im Sinne des § 39 des Wasserhaushaltsgesetzes und des § 78 des Brandenburgischen Wassergesetzes ordnungsgemäße Unterhaltung der Gewässer, soweit sie den in § 3 aufgeführten Schutzgütern nicht entgegensteht. Die Maßnahmen können durch einen abgestimmten Unterhaltungsplan dokumentiert werden;</w:t>
      </w:r>
    </w:p>
    <w:p>
      <w:r>
        <w:t xml:space="preserve">der Betrieb von Anlagen für die öffentliche Wasserversorgung, von Abwasseranlagen, Messanlagen (Pegel-, Abfluss- und andere Messstellen) und sonstigen wasserwirtschaftlichen Anlagen in der bisherigen Art und im bisherigen Umfang. Die Unterhaltung dieser Anlagen bleibt im Einvernehmen mit der un​teren Naturschutzbehörde zulässig; das Einvernehmen über regelmäßig wiederkehrende Unterhaltungsarbeiten kann durch langfristig gültige Vereinbarungen hergestellt werden;</w:t>
      </w:r>
    </w:p>
    <w:p>
      <w:r>
        <w:t xml:space="preserve">die sonstigen bei Inkrafttreten dieser Verordnung auf Grund behördlicher Einzelfallentscheidung rechtmäßig ausgeübten Nutzungen und Befugnisse in der bisherigen Art und im bisherigen Umfang;</w:t>
      </w:r>
    </w:p>
    <w:p>
      <w:r>
        <w:t xml:space="preserve">das Sammeln von Pilzen und Wildfrüchten in geringen Mengen für den persönlichen Gebrauch;</w:t>
      </w:r>
    </w:p>
    <w:p>
      <w:r>
        <w:t xml:space="preserve">Maßnahmen zur Untersuchung von altlastverdächtigen Flächen und Verdachtsflächen sowie Maßnahmen der Altlastensanierung und der Sanierung schädlicher Bodenveränderungen gemäß Bundes-Bodenschutzgesetz sowie Maßnahmen der Munitionsräumung nach Anzeige gemäß § 34 Absatz 6 des Bundesnaturschutzgesetzes bei der unteren Naturschutzbehörde;</w:t>
      </w:r>
    </w:p>
    <w:p>
      <w:r>
        <w:t xml:space="preserve">Schutz-, Pflege-, Entwicklungs- und Wiederherstellungsmaßnahmen, die von der zuständigen Naturschutzbehörde zugelassen oder angeordnet worden sind;</w:t>
      </w:r>
    </w:p>
    <w:p>
      <w:r>
        <w:t xml:space="preserve">behördliche sowie behördlich angeordnete oder zugelassene Beschilderungen, soweit sie auf den Schutzzweck des Gebietes hinweisen oder als hoheitliche Kennzeichnungen, Orts- oder Verkehrshinweise, Wegemarkierungen, touristische Informationen oder Warntafeln dienen. Darüber hinaus sind nichtamtliche Hinweisschilder zum Tourismus im Sinne der Richtlinie des Ministeriums für Infrastruktur und Raumordnung zur Aufstellung nichtamtlicher Hinweiszeichen an Bundes-, Landes- und Kreisstraßen im Land Brandenburg (Hinweis-Z.Ri) vom 24. Juli 2007 (ABl. S. 1734), die durch die Bekanntmachung vom 1. Oktober 2013 (ABl. S. 2811) geändert worden ist, an Straßen und Wegen freigestellt;</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soweit dies zur Ausübung der nach Absatz 1 zulässigen Handlungen erforderlich ist. Das Gestattungserfordernis nach § 16 Absatz 2 des Waldgesetzes des Landes Brandenburg bleibt unberührt.</w:t>
      </w:r>
    </w:p>
    <w:p>
      <w:r>
        <w:t xml:space="preserve">(3) Die in Absatz 1 genannten zulässigen Handlungen bleiben von Zulassungserfordernissen, die sich aus anderen Vorgaben ergeben, unberührt.</w:t>
      </w:r>
    </w:p>
    <w:p>
      <w:r>
        <w:t xml:space="preserve">Einzelnorm</w:t>
      </w:r>
    </w:p>
    <w:p>
      <w:r>
        <w:rPr>
          <w:color w:val="555555"/>
          <w:sz w:val="17"/>
        </w:rPr>
        <w:t xml:space="preserve">Zitiervorschlag: § 5 VO-NSG_DOEMNITZ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https://recht.nulegal.eu/gesetze/VO-NSG_DOEMNITZ/5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VO-NSG_DOEMNITZ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