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VO-NSGZESCHSEE_2015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„Großer und Westufer Kleiner Zeschsee“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 und Entwicklungsmaßnahme wird als Zielvorgabe festgelegt:</w:t>
      </w:r>
    </w:p>
    <w:p>
      <w:r>
        <w:t xml:space="preserve">Die Feuchtwiesen sollen in einer zeitlichen Abfolge entsprechend den Empfehlungen des Pflegekalenders der unteren Naturschutzbehörde Teltow-Fläming gemäht werden.</w:t>
      </w:r>
    </w:p>
    <w:p>
      <w:r>
        <w:rPr>
          <w:color w:val="555555"/>
          <w:sz w:val="17"/>
        </w:rPr>
        <w:t xml:space="preserve">Zitiervorschlag: § 6 VO-NSGZESCHSEE_2015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https://recht.nulegal.eu/gesetze/VO-NSGZESCHSEE_2015/6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