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VO-NSGZESCHSEE_2015 (Brandenburg) — Zulässige Handlungen</w:t>
      </w:r>
    </w:p>
    <w:p>
      <w:r>
        <w:rPr>
          <w:color w:val="555555"/>
          <w:sz w:val="18"/>
        </w:rPr>
        <w:t xml:space="preserve">Verordnung über das Naturschutzgebiet „Großer und Westufer Kleiner Zeschsee“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 folgende Handlungen:</w:t>
      </w:r>
    </w:p>
    <w:p>
      <w:r>
        <w:t xml:space="preserve">die im Sinne des § 11 Abs. 2 des Brandenburgischen Naturschutzgesetzes ordnungsgemäße landwirtschaftliche Bodennutzung in der bisherigen Art und im bisherigen Umfang mit der Maßgabe, dass</w:t>
      </w:r>
    </w:p>
    <w:p>
      <w:r>
        <w:t xml:space="preserve">keine Düngung mit Stickstoff auf den Grünlandbereichen erfolgt,</w:t>
      </w:r>
    </w:p>
    <w:p>
      <w:r>
        <w:t xml:space="preserve">die Verbote des § 4 Abs. 2 Nr. 19 und 20 gelten;</w:t>
      </w:r>
    </w:p>
    <w:p>
      <w:r>
        <w:t xml:space="preserve">die im Sinne des § 11 Abs. 3 des Brandenburgischen Naturschutzgesetzes ordnungsgemäße forstwirtschaftliche Bodennutzung mit der Maßgabe, dass</w:t>
      </w:r>
    </w:p>
    <w:p>
      <w:r>
        <w:t xml:space="preserve">die an der potenziell-natürlichen Vegetation orientierte Baumartenzusammensetzung zu erhalten beziehungsweise wiederherzustellen ist,</w:t>
      </w:r>
    </w:p>
    <w:p>
      <w:r>
        <w:t xml:space="preserve">der Naturverjüngung gegenüber Pflanzungen der Vorrang einzuräumen ist,</w:t>
      </w:r>
    </w:p>
    <w:p>
      <w:r>
        <w:t xml:space="preserve">Erstaufforstungen nur im Einvernehmen mit der unteren Naturschutzbehörde erfolgen;</w:t>
      </w:r>
    </w:p>
    <w:p>
      <w:r>
        <w:t xml:space="preserve">für den Bereich der Jagd:</w:t>
      </w:r>
    </w:p>
    <w:p>
      <w:r>
        <w:t xml:space="preserve">die rechtmäßige Ausübung der Jagd,</w:t>
      </w:r>
    </w:p>
    <w:p>
      <w:r>
        <w:t xml:space="preserve">die Anlage von Kirrungen in Quell- oder Feuchtgebieten sowie die Neuanlage von Wildäckern oder Ansaatwildwiesen im Einvernehmen mit der unteren Naturschutzbehörde;</w:t>
      </w:r>
    </w:p>
    <w:p>
      <w:r>
        <w:t xml:space="preserve">die im Sinne des § 11 Abs. 4 des Brandenburgischen Naturschutzgesetzes in Verbindung mit § 1 Abs. 1 und 2 des Fischereigesetzes für das Land Brandenburg ordnungsgemäße Ausübung der fischereiwirtschaftlichen Flächennutzung sowie die Angelfischerei in der bisherigen Art und im bisherigen Umfang mit der Maßgabe, dass</w:t>
      </w:r>
    </w:p>
    <w:p>
      <w:r>
        <w:t xml:space="preserve">das Verbot des § 4 Abs. 2 Nr. 21 gilt,</w:t>
      </w:r>
    </w:p>
    <w:p>
      <w:r>
        <w:t xml:space="preserve">Fanggeräte und Fangmittel so einzusetzen oder auszustatten sind, dass ein Einschwimmen oder eine Gefährdung des Fischotters weitestgehend ausgeschlossen ist,</w:t>
      </w:r>
    </w:p>
    <w:p>
      <w:r>
        <w:t xml:space="preserve">die Angelfischerei am Großen Zeschsee vom Wasser aus sowie am Nord- und Ostufer gestattet ist, während sie am Westufer ausschließlich an der Halbinsel "Fürstenbadestelle" sowie an acht weiteren Stellen zulässig ist, die vor Ort markiert sind und deren Lage in der anliegenden Kartenskizze durch Symbole gekennzeichnet ist;</w:t>
      </w:r>
    </w:p>
    <w:p>
      <w:r>
        <w:t xml:space="preserve">die sonstigen bei In-Kraft-Treten dieser Verordnung auf Grund behördlicher Einzelfallentscheidung rechtmäßig ausgeübten Nutzungen und Befugnisse in der bisherigen Art und im bisherigen Umfang;</w:t>
      </w:r>
    </w:p>
    <w:p>
      <w:r>
        <w:t xml:space="preserve">die im Sinne des § 10 des Brandenburgischen Straßengesetzes ordnungsgemäße Unterhaltung der dem öffentlichen Verkehr gewidmeten Straßen und Wege, die im Sinne des § 78 des Brandenburgischen Wassergesetzes ordnungsgemäße Unterhaltung der Gewässer sowie die ordnungsgemäße Unterhaltung sonstiger rechtmäßig bestehender Anlagen jeweils im Einvernehmen mit der unteren Naturschutzbehörde;</w:t>
      </w:r>
    </w:p>
    <w:p>
      <w:r>
        <w:t xml:space="preserve">Schutz-, Pflege- und Entwicklungsmaßnahmen, die von der zuständigen Naturschutzbehörde angeordnet worden sind;</w:t>
      </w:r>
    </w:p>
    <w:p>
      <w:r>
        <w:t xml:space="preserve">Maßnahmen zur Untersuchung von Altlastenverdachtsflächen und Maßnahmen der Altlastensanierung im Einvernehmen mit der unteren Naturschutzbehörde;</w:t>
      </w:r>
    </w:p>
    <w:p>
      <w:r>
        <w:t xml:space="preserve">behördliche sowie behördlich angeordnete oder zugelassene Beschilderungen, soweit sie auf den Schutzzweck des Gebietes hinweisen oder als hoheitliche Kennzeichnungen, Orts oder Verkehrshinweise, Wegemarkierungen oder Warntafeln dienen;</w:t>
      </w:r>
    </w:p>
    <w:p>
      <w:r>
        <w:t xml:space="preserve">Maßnahmen, die der Abwehr einer unmittelbar drohenden Gefahr für die öffentliche Sicherheit und Ordnung dienen. Die untere Naturschutzbehörde ist über die getroffenen Maßnahmen unverzüglich zu unterrichten. Sie kann nachträglich ergänzende Anordnungen zur Vereinbarkeit mit dem Schutzzweck treffen.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Der Genehmigungsvorbehalt nach § 19 Abs. 3 Satz 2 Landeswaldgesetz bleibt unberührt.</w:t>
      </w:r>
    </w:p>
    <w:p>
      <w:r>
        <w:rPr>
          <w:color w:val="555555"/>
          <w:sz w:val="17"/>
        </w:rPr>
        <w:t xml:space="preserve">Zitiervorschlag: § 5 VO-NSGZESCHSEE_2015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https://recht.nulegal.eu/gesetze/VO-NSGZESCHSEE_2015/5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